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179F5" w14:textId="2DA3435A" w:rsidR="007C1EBF" w:rsidRDefault="007C1EBF" w:rsidP="0076792A">
      <w:pPr>
        <w:rPr>
          <w:rFonts w:ascii="Lato" w:eastAsia="Times New Roman" w:hAnsi="Lato" w:cs="Times New Roman"/>
          <w:b/>
          <w:bCs/>
          <w:kern w:val="0"/>
          <w:lang w:eastAsia="en-GB"/>
          <w14:ligatures w14:val="none"/>
        </w:rPr>
      </w:pPr>
      <w:r w:rsidRPr="007C1EBF">
        <w:rPr>
          <w:b/>
          <w:bCs/>
          <w:sz w:val="32"/>
          <w:szCs w:val="32"/>
        </w:rPr>
        <w:t>PETROC GROUP PRACTICE OPIOID PRESCRIBING POLICY</w:t>
      </w:r>
    </w:p>
    <w:bookmarkStart w:id="0" w:name="_Toc182314733" w:displacedByCustomXml="next"/>
    <w:sdt>
      <w:sdtPr>
        <w:rPr>
          <w:rFonts w:asciiTheme="minorHAnsi" w:eastAsiaTheme="minorHAnsi" w:hAnsiTheme="minorHAnsi" w:cstheme="minorBidi"/>
          <w:color w:val="auto"/>
          <w:sz w:val="24"/>
          <w:szCs w:val="24"/>
          <w:lang w:eastAsia="en-US"/>
        </w:rPr>
        <w:id w:val="-1200630804"/>
        <w:docPartObj>
          <w:docPartGallery w:val="Table of Contents"/>
          <w:docPartUnique/>
        </w:docPartObj>
      </w:sdtPr>
      <w:sdtEndPr>
        <w:rPr>
          <w:b/>
          <w:bCs/>
          <w:noProof/>
        </w:rPr>
      </w:sdtEndPr>
      <w:sdtContent>
        <w:p w14:paraId="3CEF2018" w14:textId="6B4838FE" w:rsidR="007C1EBF" w:rsidRDefault="007C1EBF" w:rsidP="007C1EBF">
          <w:pPr>
            <w:pStyle w:val="DrugPolicyheaders"/>
          </w:pPr>
          <w:r>
            <w:t>CONTENTS</w:t>
          </w:r>
          <w:bookmarkEnd w:id="0"/>
        </w:p>
        <w:p w14:paraId="5A5A2957" w14:textId="0B72CCE8" w:rsidR="0076792A" w:rsidRDefault="007C1EBF">
          <w:pPr>
            <w:pStyle w:val="TOC1"/>
            <w:tabs>
              <w:tab w:val="right" w:leader="dot" w:pos="9968"/>
            </w:tabs>
            <w:rPr>
              <w:rFonts w:eastAsiaTheme="minorEastAsia"/>
              <w:noProof/>
              <w:lang w:eastAsia="en-GB"/>
            </w:rPr>
          </w:pPr>
          <w:r>
            <w:fldChar w:fldCharType="begin"/>
          </w:r>
          <w:r>
            <w:instrText xml:space="preserve"> TOC \o "1-3" \h \z \u </w:instrText>
          </w:r>
          <w:r>
            <w:fldChar w:fldCharType="separate"/>
          </w:r>
          <w:hyperlink w:anchor="_Toc182314734" w:history="1">
            <w:r w:rsidR="0076792A" w:rsidRPr="008E7B60">
              <w:rPr>
                <w:rStyle w:val="Hyperlink"/>
                <w:noProof/>
              </w:rPr>
              <w:t>SCOPE</w:t>
            </w:r>
            <w:r w:rsidR="0076792A">
              <w:rPr>
                <w:noProof/>
                <w:webHidden/>
              </w:rPr>
              <w:tab/>
            </w:r>
            <w:r w:rsidR="0076792A">
              <w:rPr>
                <w:noProof/>
                <w:webHidden/>
              </w:rPr>
              <w:fldChar w:fldCharType="begin"/>
            </w:r>
            <w:r w:rsidR="0076792A">
              <w:rPr>
                <w:noProof/>
                <w:webHidden/>
              </w:rPr>
              <w:instrText xml:space="preserve"> PAGEREF _Toc182314734 \h </w:instrText>
            </w:r>
            <w:r w:rsidR="0076792A">
              <w:rPr>
                <w:noProof/>
                <w:webHidden/>
              </w:rPr>
            </w:r>
            <w:r w:rsidR="0076792A">
              <w:rPr>
                <w:noProof/>
                <w:webHidden/>
              </w:rPr>
              <w:fldChar w:fldCharType="separate"/>
            </w:r>
            <w:r w:rsidR="0076792A">
              <w:rPr>
                <w:noProof/>
                <w:webHidden/>
              </w:rPr>
              <w:t>1</w:t>
            </w:r>
            <w:r w:rsidR="0076792A">
              <w:rPr>
                <w:noProof/>
                <w:webHidden/>
              </w:rPr>
              <w:fldChar w:fldCharType="end"/>
            </w:r>
          </w:hyperlink>
        </w:p>
        <w:p w14:paraId="4FF0E537" w14:textId="4D19BECD" w:rsidR="0076792A" w:rsidRDefault="0076792A">
          <w:pPr>
            <w:pStyle w:val="TOC1"/>
            <w:tabs>
              <w:tab w:val="right" w:leader="dot" w:pos="9968"/>
            </w:tabs>
            <w:rPr>
              <w:rFonts w:eastAsiaTheme="minorEastAsia"/>
              <w:noProof/>
              <w:lang w:eastAsia="en-GB"/>
            </w:rPr>
          </w:pPr>
          <w:hyperlink w:anchor="_Toc182314735" w:history="1">
            <w:r w:rsidRPr="008E7B60">
              <w:rPr>
                <w:rStyle w:val="Hyperlink"/>
                <w:noProof/>
              </w:rPr>
              <w:t>GENERAL PRACTICE STANDARDS</w:t>
            </w:r>
            <w:r>
              <w:rPr>
                <w:noProof/>
                <w:webHidden/>
              </w:rPr>
              <w:tab/>
            </w:r>
            <w:r>
              <w:rPr>
                <w:noProof/>
                <w:webHidden/>
              </w:rPr>
              <w:fldChar w:fldCharType="begin"/>
            </w:r>
            <w:r>
              <w:rPr>
                <w:noProof/>
                <w:webHidden/>
              </w:rPr>
              <w:instrText xml:space="preserve"> PAGEREF _Toc182314735 \h </w:instrText>
            </w:r>
            <w:r>
              <w:rPr>
                <w:noProof/>
                <w:webHidden/>
              </w:rPr>
            </w:r>
            <w:r>
              <w:rPr>
                <w:noProof/>
                <w:webHidden/>
              </w:rPr>
              <w:fldChar w:fldCharType="separate"/>
            </w:r>
            <w:r>
              <w:rPr>
                <w:noProof/>
                <w:webHidden/>
              </w:rPr>
              <w:t>1</w:t>
            </w:r>
            <w:r>
              <w:rPr>
                <w:noProof/>
                <w:webHidden/>
              </w:rPr>
              <w:fldChar w:fldCharType="end"/>
            </w:r>
          </w:hyperlink>
        </w:p>
        <w:p w14:paraId="67965D6C" w14:textId="1E2B0408" w:rsidR="0076792A" w:rsidRDefault="0076792A">
          <w:pPr>
            <w:pStyle w:val="TOC1"/>
            <w:tabs>
              <w:tab w:val="right" w:leader="dot" w:pos="9968"/>
            </w:tabs>
            <w:rPr>
              <w:rFonts w:eastAsiaTheme="minorEastAsia"/>
              <w:noProof/>
              <w:lang w:eastAsia="en-GB"/>
            </w:rPr>
          </w:pPr>
          <w:hyperlink w:anchor="_Toc182314736" w:history="1">
            <w:r w:rsidRPr="008E7B60">
              <w:rPr>
                <w:rStyle w:val="Hyperlink"/>
                <w:noProof/>
              </w:rPr>
              <w:t>OPIOID PRESCRIPTIONS</w:t>
            </w:r>
            <w:r>
              <w:rPr>
                <w:noProof/>
                <w:webHidden/>
              </w:rPr>
              <w:tab/>
            </w:r>
            <w:r>
              <w:rPr>
                <w:noProof/>
                <w:webHidden/>
              </w:rPr>
              <w:fldChar w:fldCharType="begin"/>
            </w:r>
            <w:r>
              <w:rPr>
                <w:noProof/>
                <w:webHidden/>
              </w:rPr>
              <w:instrText xml:space="preserve"> PAGEREF _Toc182314736 \h </w:instrText>
            </w:r>
            <w:r>
              <w:rPr>
                <w:noProof/>
                <w:webHidden/>
              </w:rPr>
            </w:r>
            <w:r>
              <w:rPr>
                <w:noProof/>
                <w:webHidden/>
              </w:rPr>
              <w:fldChar w:fldCharType="separate"/>
            </w:r>
            <w:r>
              <w:rPr>
                <w:noProof/>
                <w:webHidden/>
              </w:rPr>
              <w:t>2</w:t>
            </w:r>
            <w:r>
              <w:rPr>
                <w:noProof/>
                <w:webHidden/>
              </w:rPr>
              <w:fldChar w:fldCharType="end"/>
            </w:r>
          </w:hyperlink>
        </w:p>
        <w:p w14:paraId="0E8AEE66" w14:textId="1D424A05" w:rsidR="0076792A" w:rsidRDefault="0076792A">
          <w:pPr>
            <w:pStyle w:val="TOC1"/>
            <w:tabs>
              <w:tab w:val="right" w:leader="dot" w:pos="9968"/>
            </w:tabs>
            <w:rPr>
              <w:rFonts w:eastAsiaTheme="minorEastAsia"/>
              <w:noProof/>
              <w:lang w:eastAsia="en-GB"/>
            </w:rPr>
          </w:pPr>
          <w:hyperlink w:anchor="_Toc182314737" w:history="1">
            <w:r w:rsidRPr="008E7B60">
              <w:rPr>
                <w:rStyle w:val="Hyperlink"/>
                <w:noProof/>
              </w:rPr>
              <w:t>REVIEW OF OPIOID PRESCRIBING</w:t>
            </w:r>
            <w:r>
              <w:rPr>
                <w:noProof/>
                <w:webHidden/>
              </w:rPr>
              <w:tab/>
            </w:r>
            <w:r>
              <w:rPr>
                <w:noProof/>
                <w:webHidden/>
              </w:rPr>
              <w:fldChar w:fldCharType="begin"/>
            </w:r>
            <w:r>
              <w:rPr>
                <w:noProof/>
                <w:webHidden/>
              </w:rPr>
              <w:instrText xml:space="preserve"> PAGEREF _Toc182314737 \h </w:instrText>
            </w:r>
            <w:r>
              <w:rPr>
                <w:noProof/>
                <w:webHidden/>
              </w:rPr>
            </w:r>
            <w:r>
              <w:rPr>
                <w:noProof/>
                <w:webHidden/>
              </w:rPr>
              <w:fldChar w:fldCharType="separate"/>
            </w:r>
            <w:r>
              <w:rPr>
                <w:noProof/>
                <w:webHidden/>
              </w:rPr>
              <w:t>2</w:t>
            </w:r>
            <w:r>
              <w:rPr>
                <w:noProof/>
                <w:webHidden/>
              </w:rPr>
              <w:fldChar w:fldCharType="end"/>
            </w:r>
          </w:hyperlink>
        </w:p>
        <w:p w14:paraId="02E883B1" w14:textId="530A6CFE" w:rsidR="0076792A" w:rsidRDefault="0076792A">
          <w:pPr>
            <w:pStyle w:val="TOC1"/>
            <w:tabs>
              <w:tab w:val="right" w:leader="dot" w:pos="9968"/>
            </w:tabs>
            <w:rPr>
              <w:rFonts w:eastAsiaTheme="minorEastAsia"/>
              <w:noProof/>
              <w:lang w:eastAsia="en-GB"/>
            </w:rPr>
          </w:pPr>
          <w:hyperlink w:anchor="_Toc182314738" w:history="1">
            <w:r w:rsidRPr="008E7B60">
              <w:rPr>
                <w:rStyle w:val="Hyperlink"/>
                <w:noProof/>
              </w:rPr>
              <w:t>OPIOD AND BENZODIAZEPINE CO-PRESCIBING</w:t>
            </w:r>
            <w:r>
              <w:rPr>
                <w:noProof/>
                <w:webHidden/>
              </w:rPr>
              <w:tab/>
            </w:r>
            <w:r>
              <w:rPr>
                <w:noProof/>
                <w:webHidden/>
              </w:rPr>
              <w:fldChar w:fldCharType="begin"/>
            </w:r>
            <w:r>
              <w:rPr>
                <w:noProof/>
                <w:webHidden/>
              </w:rPr>
              <w:instrText xml:space="preserve"> PAGEREF _Toc182314738 \h </w:instrText>
            </w:r>
            <w:r>
              <w:rPr>
                <w:noProof/>
                <w:webHidden/>
              </w:rPr>
            </w:r>
            <w:r>
              <w:rPr>
                <w:noProof/>
                <w:webHidden/>
              </w:rPr>
              <w:fldChar w:fldCharType="separate"/>
            </w:r>
            <w:r>
              <w:rPr>
                <w:noProof/>
                <w:webHidden/>
              </w:rPr>
              <w:t>3</w:t>
            </w:r>
            <w:r>
              <w:rPr>
                <w:noProof/>
                <w:webHidden/>
              </w:rPr>
              <w:fldChar w:fldCharType="end"/>
            </w:r>
          </w:hyperlink>
        </w:p>
        <w:p w14:paraId="2D10DF77" w14:textId="4A151BB0" w:rsidR="0076792A" w:rsidRDefault="0076792A">
          <w:pPr>
            <w:pStyle w:val="TOC1"/>
            <w:tabs>
              <w:tab w:val="right" w:leader="dot" w:pos="9968"/>
            </w:tabs>
            <w:rPr>
              <w:rFonts w:eastAsiaTheme="minorEastAsia"/>
              <w:noProof/>
              <w:lang w:eastAsia="en-GB"/>
            </w:rPr>
          </w:pPr>
          <w:hyperlink w:anchor="_Toc182314739" w:history="1">
            <w:r w:rsidRPr="008E7B60">
              <w:rPr>
                <w:rStyle w:val="Hyperlink"/>
                <w:noProof/>
              </w:rPr>
              <w:t>RESOURCES</w:t>
            </w:r>
            <w:r>
              <w:rPr>
                <w:noProof/>
                <w:webHidden/>
              </w:rPr>
              <w:tab/>
            </w:r>
            <w:r>
              <w:rPr>
                <w:noProof/>
                <w:webHidden/>
              </w:rPr>
              <w:fldChar w:fldCharType="begin"/>
            </w:r>
            <w:r>
              <w:rPr>
                <w:noProof/>
                <w:webHidden/>
              </w:rPr>
              <w:instrText xml:space="preserve"> PAGEREF _Toc182314739 \h </w:instrText>
            </w:r>
            <w:r>
              <w:rPr>
                <w:noProof/>
                <w:webHidden/>
              </w:rPr>
            </w:r>
            <w:r>
              <w:rPr>
                <w:noProof/>
                <w:webHidden/>
              </w:rPr>
              <w:fldChar w:fldCharType="separate"/>
            </w:r>
            <w:r>
              <w:rPr>
                <w:noProof/>
                <w:webHidden/>
              </w:rPr>
              <w:t>4</w:t>
            </w:r>
            <w:r>
              <w:rPr>
                <w:noProof/>
                <w:webHidden/>
              </w:rPr>
              <w:fldChar w:fldCharType="end"/>
            </w:r>
          </w:hyperlink>
        </w:p>
        <w:p w14:paraId="7B599A9E" w14:textId="0F009C9A" w:rsidR="0076792A" w:rsidRDefault="0076792A">
          <w:pPr>
            <w:pStyle w:val="TOC1"/>
            <w:tabs>
              <w:tab w:val="right" w:leader="dot" w:pos="9968"/>
            </w:tabs>
            <w:rPr>
              <w:rFonts w:eastAsiaTheme="minorEastAsia"/>
              <w:noProof/>
              <w:lang w:eastAsia="en-GB"/>
            </w:rPr>
          </w:pPr>
          <w:hyperlink w:anchor="_Toc182314740" w:history="1">
            <w:r w:rsidRPr="008E7B60">
              <w:rPr>
                <w:rStyle w:val="Hyperlink"/>
                <w:noProof/>
              </w:rPr>
              <w:t>REFERENCES:</w:t>
            </w:r>
            <w:r>
              <w:rPr>
                <w:noProof/>
                <w:webHidden/>
              </w:rPr>
              <w:tab/>
            </w:r>
            <w:r>
              <w:rPr>
                <w:noProof/>
                <w:webHidden/>
              </w:rPr>
              <w:fldChar w:fldCharType="begin"/>
            </w:r>
            <w:r>
              <w:rPr>
                <w:noProof/>
                <w:webHidden/>
              </w:rPr>
              <w:instrText xml:space="preserve"> PAGEREF _Toc182314740 \h </w:instrText>
            </w:r>
            <w:r>
              <w:rPr>
                <w:noProof/>
                <w:webHidden/>
              </w:rPr>
            </w:r>
            <w:r>
              <w:rPr>
                <w:noProof/>
                <w:webHidden/>
              </w:rPr>
              <w:fldChar w:fldCharType="separate"/>
            </w:r>
            <w:r>
              <w:rPr>
                <w:noProof/>
                <w:webHidden/>
              </w:rPr>
              <w:t>4</w:t>
            </w:r>
            <w:r>
              <w:rPr>
                <w:noProof/>
                <w:webHidden/>
              </w:rPr>
              <w:fldChar w:fldCharType="end"/>
            </w:r>
          </w:hyperlink>
        </w:p>
        <w:p w14:paraId="378D8DB2" w14:textId="1C1FD15E" w:rsidR="0076792A" w:rsidRDefault="0076792A">
          <w:pPr>
            <w:pStyle w:val="TOC1"/>
            <w:tabs>
              <w:tab w:val="right" w:leader="dot" w:pos="9968"/>
            </w:tabs>
            <w:rPr>
              <w:rFonts w:eastAsiaTheme="minorEastAsia"/>
              <w:noProof/>
              <w:lang w:eastAsia="en-GB"/>
            </w:rPr>
          </w:pPr>
          <w:hyperlink w:anchor="_Toc182314741" w:history="1">
            <w:r w:rsidRPr="008E7B60">
              <w:rPr>
                <w:rStyle w:val="Hyperlink"/>
                <w:noProof/>
              </w:rPr>
              <w:t>APPENDIX A</w:t>
            </w:r>
            <w:r>
              <w:rPr>
                <w:noProof/>
                <w:webHidden/>
              </w:rPr>
              <w:tab/>
            </w:r>
            <w:r>
              <w:rPr>
                <w:noProof/>
                <w:webHidden/>
              </w:rPr>
              <w:fldChar w:fldCharType="begin"/>
            </w:r>
            <w:r>
              <w:rPr>
                <w:noProof/>
                <w:webHidden/>
              </w:rPr>
              <w:instrText xml:space="preserve"> PAGEREF _Toc182314741 \h </w:instrText>
            </w:r>
            <w:r>
              <w:rPr>
                <w:noProof/>
                <w:webHidden/>
              </w:rPr>
            </w:r>
            <w:r>
              <w:rPr>
                <w:noProof/>
                <w:webHidden/>
              </w:rPr>
              <w:fldChar w:fldCharType="separate"/>
            </w:r>
            <w:r>
              <w:rPr>
                <w:noProof/>
                <w:webHidden/>
              </w:rPr>
              <w:t>4</w:t>
            </w:r>
            <w:r>
              <w:rPr>
                <w:noProof/>
                <w:webHidden/>
              </w:rPr>
              <w:fldChar w:fldCharType="end"/>
            </w:r>
          </w:hyperlink>
        </w:p>
        <w:p w14:paraId="4C81A787" w14:textId="5512B6E4" w:rsidR="0076792A" w:rsidRDefault="0076792A">
          <w:pPr>
            <w:pStyle w:val="TOC1"/>
            <w:tabs>
              <w:tab w:val="right" w:leader="dot" w:pos="9968"/>
            </w:tabs>
            <w:rPr>
              <w:rFonts w:eastAsiaTheme="minorEastAsia"/>
              <w:noProof/>
              <w:lang w:eastAsia="en-GB"/>
            </w:rPr>
          </w:pPr>
          <w:hyperlink w:anchor="_Toc182314742" w:history="1">
            <w:r w:rsidRPr="008E7B60">
              <w:rPr>
                <w:rStyle w:val="Hyperlink"/>
                <w:noProof/>
              </w:rPr>
              <w:t>NOTIFICATION</w:t>
            </w:r>
            <w:r w:rsidRPr="008E7B60">
              <w:rPr>
                <w:rStyle w:val="Hyperlink"/>
                <w:noProof/>
                <w:spacing w:val="-7"/>
              </w:rPr>
              <w:t xml:space="preserve"> </w:t>
            </w:r>
            <w:r w:rsidRPr="008E7B60">
              <w:rPr>
                <w:rStyle w:val="Hyperlink"/>
                <w:noProof/>
              </w:rPr>
              <w:t>OF</w:t>
            </w:r>
            <w:r w:rsidRPr="008E7B60">
              <w:rPr>
                <w:rStyle w:val="Hyperlink"/>
                <w:noProof/>
                <w:spacing w:val="-4"/>
              </w:rPr>
              <w:t xml:space="preserve"> </w:t>
            </w:r>
            <w:r w:rsidRPr="008E7B60">
              <w:rPr>
                <w:rStyle w:val="Hyperlink"/>
                <w:noProof/>
              </w:rPr>
              <w:t>THEFT/UNACCOUNTED</w:t>
            </w:r>
            <w:r w:rsidRPr="008E7B60">
              <w:rPr>
                <w:rStyle w:val="Hyperlink"/>
                <w:noProof/>
                <w:spacing w:val="-3"/>
              </w:rPr>
              <w:t xml:space="preserve"> </w:t>
            </w:r>
            <w:r w:rsidRPr="008E7B60">
              <w:rPr>
                <w:rStyle w:val="Hyperlink"/>
                <w:noProof/>
              </w:rPr>
              <w:t>LOSS</w:t>
            </w:r>
            <w:r w:rsidRPr="008E7B60">
              <w:rPr>
                <w:rStyle w:val="Hyperlink"/>
                <w:noProof/>
                <w:spacing w:val="-6"/>
              </w:rPr>
              <w:t xml:space="preserve"> </w:t>
            </w:r>
            <w:r w:rsidRPr="008E7B60">
              <w:rPr>
                <w:rStyle w:val="Hyperlink"/>
                <w:noProof/>
              </w:rPr>
              <w:t xml:space="preserve">OF </w:t>
            </w:r>
            <w:r w:rsidRPr="008E7B60">
              <w:rPr>
                <w:rStyle w:val="Hyperlink"/>
                <w:noProof/>
                <w:spacing w:val="-2"/>
              </w:rPr>
              <w:t>DRUGS</w:t>
            </w:r>
            <w:r>
              <w:rPr>
                <w:noProof/>
                <w:webHidden/>
              </w:rPr>
              <w:tab/>
            </w:r>
            <w:r>
              <w:rPr>
                <w:noProof/>
                <w:webHidden/>
              </w:rPr>
              <w:fldChar w:fldCharType="begin"/>
            </w:r>
            <w:r>
              <w:rPr>
                <w:noProof/>
                <w:webHidden/>
              </w:rPr>
              <w:instrText xml:space="preserve"> PAGEREF _Toc182314742 \h </w:instrText>
            </w:r>
            <w:r>
              <w:rPr>
                <w:noProof/>
                <w:webHidden/>
              </w:rPr>
            </w:r>
            <w:r>
              <w:rPr>
                <w:noProof/>
                <w:webHidden/>
              </w:rPr>
              <w:fldChar w:fldCharType="separate"/>
            </w:r>
            <w:r>
              <w:rPr>
                <w:noProof/>
                <w:webHidden/>
              </w:rPr>
              <w:t>5</w:t>
            </w:r>
            <w:r>
              <w:rPr>
                <w:noProof/>
                <w:webHidden/>
              </w:rPr>
              <w:fldChar w:fldCharType="end"/>
            </w:r>
          </w:hyperlink>
        </w:p>
        <w:p w14:paraId="552809FF" w14:textId="2504B2EC" w:rsidR="007C1EBF" w:rsidRDefault="007C1EBF" w:rsidP="007C1EBF">
          <w:pPr>
            <w:rPr>
              <w:b/>
              <w:bCs/>
              <w:noProof/>
            </w:rPr>
          </w:pPr>
          <w:r>
            <w:rPr>
              <w:b/>
              <w:bCs/>
              <w:noProof/>
            </w:rPr>
            <w:fldChar w:fldCharType="end"/>
          </w:r>
        </w:p>
      </w:sdtContent>
    </w:sdt>
    <w:p w14:paraId="7BF6C5A0" w14:textId="194F718A" w:rsidR="007C1EBF" w:rsidRDefault="007C1EBF" w:rsidP="007C1EBF">
      <w:pPr>
        <w:pStyle w:val="DrugPolicyheaders"/>
      </w:pPr>
      <w:bookmarkStart w:id="1" w:name="_Toc182314734"/>
      <w:r>
        <w:t>SCOPE</w:t>
      </w:r>
      <w:bookmarkEnd w:id="1"/>
    </w:p>
    <w:p w14:paraId="43231E0E" w14:textId="77777777" w:rsidR="007C1EBF" w:rsidRPr="00963819" w:rsidRDefault="007C1EBF" w:rsidP="00FB2A04">
      <w:pPr>
        <w:shd w:val="clear" w:color="auto" w:fill="FFFFFF"/>
        <w:spacing w:after="0" w:line="240" w:lineRule="auto"/>
        <w:rPr>
          <w:rFonts w:ascii="Lato" w:eastAsia="Times New Roman" w:hAnsi="Lato" w:cs="Times New Roman"/>
          <w:b/>
          <w:bCs/>
          <w:kern w:val="0"/>
          <w:lang w:eastAsia="en-GB"/>
          <w14:ligatures w14:val="none"/>
        </w:rPr>
      </w:pPr>
    </w:p>
    <w:p w14:paraId="79A9EAF3" w14:textId="7B1015EB" w:rsidR="00D02000"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This policy is based on MHRA recommendations</w:t>
      </w:r>
      <w:r w:rsidR="00224C6D" w:rsidRPr="00963819">
        <w:rPr>
          <w:rFonts w:ascii="Lato" w:eastAsia="Times New Roman" w:hAnsi="Lato" w:cs="Times New Roman"/>
          <w:kern w:val="0"/>
          <w:lang w:eastAsia="en-GB"/>
          <w14:ligatures w14:val="none"/>
        </w:rPr>
        <w:t>, Faculty of pain and Nice Guidance. It is intended to outline a strategy to manage the risk</w:t>
      </w:r>
      <w:r w:rsidR="00963819">
        <w:rPr>
          <w:rFonts w:ascii="Lato" w:eastAsia="Times New Roman" w:hAnsi="Lato" w:cs="Times New Roman"/>
          <w:kern w:val="0"/>
          <w:lang w:eastAsia="en-GB"/>
          <w14:ligatures w14:val="none"/>
        </w:rPr>
        <w:t>s and maximise benefits</w:t>
      </w:r>
      <w:r w:rsidR="00224C6D" w:rsidRPr="00963819">
        <w:rPr>
          <w:rFonts w:ascii="Lato" w:eastAsia="Times New Roman" w:hAnsi="Lato" w:cs="Times New Roman"/>
          <w:kern w:val="0"/>
          <w:lang w:eastAsia="en-GB"/>
          <w14:ligatures w14:val="none"/>
        </w:rPr>
        <w:t xml:space="preserve"> when prescribing opioid medications. </w:t>
      </w:r>
    </w:p>
    <w:p w14:paraId="44ABAECF" w14:textId="77777777" w:rsidR="008E2D3F" w:rsidRPr="00FB2A04"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21CD196D" w14:textId="28725231" w:rsidR="008E2D3F" w:rsidRPr="00963819" w:rsidRDefault="00D02000"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 xml:space="preserve">Opioid medications (opioids) provide relief from serious short-term pain, however long-term use in non-cancer pain (i.e. longer than 3 months) carries increased risk of dependence and addiction. </w:t>
      </w:r>
      <w:r w:rsidR="008E2D3F" w:rsidRPr="00963819">
        <w:rPr>
          <w:rFonts w:ascii="Lato" w:eastAsia="Times New Roman" w:hAnsi="Lato" w:cs="Times New Roman"/>
          <w:kern w:val="0"/>
          <w:lang w:eastAsia="en-GB"/>
          <w14:ligatures w14:val="none"/>
        </w:rPr>
        <w:t>The risk of addiction is present even when these medications are used at a therapeutic dose. Patients may find that treatment is less effective with long term use and therefore</w:t>
      </w:r>
      <w:r w:rsidR="00CA578F" w:rsidRPr="00963819">
        <w:rPr>
          <w:rFonts w:ascii="Lato" w:eastAsia="Times New Roman" w:hAnsi="Lato" w:cs="Times New Roman"/>
          <w:kern w:val="0"/>
          <w:lang w:eastAsia="en-GB"/>
          <w14:ligatures w14:val="none"/>
        </w:rPr>
        <w:t xml:space="preserve"> may feel the</w:t>
      </w:r>
      <w:r w:rsidR="008E2D3F" w:rsidRPr="00963819">
        <w:rPr>
          <w:rFonts w:ascii="Lato" w:eastAsia="Times New Roman" w:hAnsi="Lato" w:cs="Times New Roman"/>
          <w:kern w:val="0"/>
          <w:lang w:eastAsia="en-GB"/>
          <w14:ligatures w14:val="none"/>
        </w:rPr>
        <w:t xml:space="preserve"> need to increase the dose to obtain the same level of pain control as initially experienced. </w:t>
      </w:r>
    </w:p>
    <w:p w14:paraId="4D4E65BD" w14:textId="4D08F4F7"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07C0A9A3" w14:textId="4DD2E582"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r w:rsidRPr="00963819">
        <w:rPr>
          <w:rFonts w:ascii="Lato" w:eastAsia="Times New Roman" w:hAnsi="Lato" w:cs="Times New Roman"/>
          <w:kern w:val="0"/>
          <w:lang w:eastAsia="en-GB"/>
          <w14:ligatures w14:val="none"/>
        </w:rPr>
        <w:t xml:space="preserve">There is a risk of tolerance, dependence and addiction to opioid drugs </w:t>
      </w:r>
      <w:r w:rsidR="00CA578F" w:rsidRPr="00963819">
        <w:rPr>
          <w:rFonts w:ascii="Lato" w:eastAsia="Times New Roman" w:hAnsi="Lato" w:cs="Times New Roman"/>
          <w:kern w:val="0"/>
          <w:lang w:eastAsia="en-GB"/>
          <w14:ligatures w14:val="none"/>
        </w:rPr>
        <w:t xml:space="preserve">for all patients. There is also the risk of withdrawal reactions and additional risk of hyperalgesia – where a patient has increased sensitivity to pain due to the long-term use of opioids. This is not pain due to disease </w:t>
      </w:r>
      <w:proofErr w:type="gramStart"/>
      <w:r w:rsidR="00CA578F" w:rsidRPr="00963819">
        <w:rPr>
          <w:rFonts w:ascii="Lato" w:eastAsia="Times New Roman" w:hAnsi="Lato" w:cs="Times New Roman"/>
          <w:kern w:val="0"/>
          <w:lang w:eastAsia="en-GB"/>
          <w14:ligatures w14:val="none"/>
        </w:rPr>
        <w:t>progression</w:t>
      </w:r>
      <w:proofErr w:type="gramEnd"/>
      <w:r w:rsidR="00CA578F" w:rsidRPr="00963819">
        <w:rPr>
          <w:rFonts w:ascii="Lato" w:eastAsia="Times New Roman" w:hAnsi="Lato" w:cs="Times New Roman"/>
          <w:kern w:val="0"/>
          <w:lang w:eastAsia="en-GB"/>
          <w14:ligatures w14:val="none"/>
        </w:rPr>
        <w:t xml:space="preserve"> but pain induced by the use of the drugs themselves. </w:t>
      </w:r>
    </w:p>
    <w:p w14:paraId="0D3C4E7E" w14:textId="0AFED9DA" w:rsidR="008E2D3F" w:rsidRPr="00963819" w:rsidRDefault="008E2D3F" w:rsidP="00FB2A04">
      <w:pPr>
        <w:shd w:val="clear" w:color="auto" w:fill="FFFFFF"/>
        <w:spacing w:after="0" w:line="240" w:lineRule="auto"/>
        <w:rPr>
          <w:rFonts w:ascii="Lato" w:eastAsia="Times New Roman" w:hAnsi="Lato" w:cs="Times New Roman"/>
          <w:kern w:val="0"/>
          <w:lang w:eastAsia="en-GB"/>
          <w14:ligatures w14:val="none"/>
        </w:rPr>
      </w:pPr>
    </w:p>
    <w:p w14:paraId="10B18467" w14:textId="77777777" w:rsidR="00D02000" w:rsidRPr="00963819" w:rsidRDefault="00D02000" w:rsidP="00FB2A04">
      <w:pPr>
        <w:shd w:val="clear" w:color="auto" w:fill="FFFFFF"/>
        <w:spacing w:after="0" w:line="240" w:lineRule="auto"/>
        <w:rPr>
          <w:rFonts w:ascii="Lato" w:eastAsia="Times New Roman" w:hAnsi="Lato" w:cs="Times New Roman"/>
          <w:kern w:val="0"/>
          <w:lang w:eastAsia="en-GB"/>
          <w14:ligatures w14:val="none"/>
        </w:rPr>
      </w:pPr>
    </w:p>
    <w:p w14:paraId="0C551DF4" w14:textId="77777777" w:rsidR="00FB2A04" w:rsidRPr="00FB2A04" w:rsidRDefault="00FB2A04" w:rsidP="007C1EBF">
      <w:pPr>
        <w:pStyle w:val="DrugPolicyheaders"/>
      </w:pPr>
      <w:bookmarkStart w:id="2" w:name="_Toc182314735"/>
      <w:r w:rsidRPr="00FB2A04">
        <w:t>GENERAL PRACTICE STANDARDS</w:t>
      </w:r>
      <w:bookmarkEnd w:id="2"/>
    </w:p>
    <w:p w14:paraId="1819775F" w14:textId="77777777" w:rsidR="00224C6D" w:rsidRPr="00963819" w:rsidRDefault="00FB2A04" w:rsidP="00224C6D">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If the decision to prescribe an opioid is taken after a shared discussion of goals, plans, risks and benefits, you may be required to confirm your consent in writing.</w:t>
      </w:r>
    </w:p>
    <w:p w14:paraId="7320ADF9" w14:textId="3E3BD2F9" w:rsidR="00FB2A04" w:rsidRPr="00FB2A04" w:rsidRDefault="00FB2A04" w:rsidP="00224C6D">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You may need to acknowledge that your care requirements are complex, and that referral for ongoing care for all or part of your healthcare may be required. It is our practice policy that patient care is matched with the level of complexity.</w:t>
      </w:r>
    </w:p>
    <w:p w14:paraId="47BF1C2C" w14:textId="1B49A0A8" w:rsidR="00FB2A04" w:rsidRPr="00FB2A04" w:rsidRDefault="00FB2A04" w:rsidP="00FB2A04">
      <w:pPr>
        <w:numPr>
          <w:ilvl w:val="0"/>
          <w:numId w:val="1"/>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lastRenderedPageBreak/>
        <w:t>Patients are reminded that we have a zero</w:t>
      </w:r>
      <w:r w:rsidR="007C1EBF">
        <w:rPr>
          <w:rFonts w:ascii="Lato" w:eastAsia="Times New Roman" w:hAnsi="Lato" w:cs="Times New Roman"/>
          <w:kern w:val="0"/>
          <w:lang w:eastAsia="en-GB"/>
          <w14:ligatures w14:val="none"/>
        </w:rPr>
        <w:t>-</w:t>
      </w:r>
      <w:r w:rsidRPr="00FB2A04">
        <w:rPr>
          <w:rFonts w:ascii="Lato" w:eastAsia="Times New Roman" w:hAnsi="Lato" w:cs="Times New Roman"/>
          <w:kern w:val="0"/>
          <w:lang w:eastAsia="en-GB"/>
          <w14:ligatures w14:val="none"/>
        </w:rPr>
        <w:t>tolerance policy on issues relating to staff verbal or physical abuse. Any threats to staff will result in transfer of your care.</w:t>
      </w:r>
    </w:p>
    <w:p w14:paraId="09A8A16C" w14:textId="77777777" w:rsidR="00FB2A04" w:rsidRPr="00FB2A04" w:rsidRDefault="00FB2A04" w:rsidP="007C1EBF">
      <w:pPr>
        <w:pStyle w:val="DrugPolicyheaders"/>
      </w:pPr>
      <w:bookmarkStart w:id="3" w:name="_Toc182314736"/>
      <w:r w:rsidRPr="00FB2A04">
        <w:t>OPIOID PRESCRIPTIONS</w:t>
      </w:r>
      <w:bookmarkEnd w:id="3"/>
    </w:p>
    <w:p w14:paraId="2545731E" w14:textId="6BD66F14" w:rsidR="00FB2A04" w:rsidRPr="00FB2A04" w:rsidRDefault="00F6379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P</w:t>
      </w:r>
      <w:r w:rsidR="00FB2A04" w:rsidRPr="00FB2A04">
        <w:rPr>
          <w:rFonts w:ascii="Lato" w:eastAsia="Times New Roman" w:hAnsi="Lato" w:cs="Times New Roman"/>
          <w:kern w:val="0"/>
          <w:lang w:eastAsia="en-GB"/>
          <w14:ligatures w14:val="none"/>
        </w:rPr>
        <w:t>rescriptions</w:t>
      </w:r>
      <w:r>
        <w:rPr>
          <w:rFonts w:ascii="Lato" w:eastAsia="Times New Roman" w:hAnsi="Lato" w:cs="Times New Roman"/>
          <w:kern w:val="0"/>
          <w:lang w:eastAsia="en-GB"/>
          <w14:ligatures w14:val="none"/>
        </w:rPr>
        <w:t xml:space="preserve"> for strong opio</w:t>
      </w:r>
      <w:r w:rsidR="007C1EBF">
        <w:rPr>
          <w:rFonts w:ascii="Lato" w:eastAsia="Times New Roman" w:hAnsi="Lato" w:cs="Times New Roman"/>
          <w:kern w:val="0"/>
          <w:lang w:eastAsia="en-GB"/>
          <w14:ligatures w14:val="none"/>
        </w:rPr>
        <w:t>i</w:t>
      </w:r>
      <w:r>
        <w:rPr>
          <w:rFonts w:ascii="Lato" w:eastAsia="Times New Roman" w:hAnsi="Lato" w:cs="Times New Roman"/>
          <w:kern w:val="0"/>
          <w:lang w:eastAsia="en-GB"/>
          <w14:ligatures w14:val="none"/>
        </w:rPr>
        <w:t>ds</w:t>
      </w:r>
      <w:r w:rsidR="00FB2A04" w:rsidRPr="00FB2A04">
        <w:rPr>
          <w:rFonts w:ascii="Lato" w:eastAsia="Times New Roman" w:hAnsi="Lato" w:cs="Times New Roman"/>
          <w:kern w:val="0"/>
          <w:lang w:eastAsia="en-GB"/>
          <w14:ligatures w14:val="none"/>
        </w:rPr>
        <w:t xml:space="preserve"> will not usually be added to your repeat medication list.</w:t>
      </w:r>
    </w:p>
    <w:p w14:paraId="745E194A" w14:textId="0E7CA43D"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A maximum of </w:t>
      </w:r>
      <w:r w:rsidR="001918FD" w:rsidRPr="00FB2A04">
        <w:rPr>
          <w:rFonts w:ascii="Lato" w:eastAsia="Times New Roman" w:hAnsi="Lato" w:cs="Times New Roman"/>
          <w:kern w:val="0"/>
          <w:lang w:eastAsia="en-GB"/>
          <w14:ligatures w14:val="none"/>
        </w:rPr>
        <w:t>28-day</w:t>
      </w:r>
      <w:r w:rsidRPr="00FB2A04">
        <w:rPr>
          <w:rFonts w:ascii="Lato" w:eastAsia="Times New Roman" w:hAnsi="Lato" w:cs="Times New Roman"/>
          <w:b/>
          <w:bCs/>
          <w:kern w:val="0"/>
          <w:lang w:eastAsia="en-GB"/>
          <w14:ligatures w14:val="none"/>
        </w:rPr>
        <w:t> </w:t>
      </w:r>
      <w:r w:rsidRPr="00FB2A04">
        <w:rPr>
          <w:rFonts w:ascii="Lato" w:eastAsia="Times New Roman" w:hAnsi="Lato" w:cs="Times New Roman"/>
          <w:kern w:val="0"/>
          <w:lang w:eastAsia="en-GB"/>
          <w14:ligatures w14:val="none"/>
        </w:rPr>
        <w:t>prescription supply will be issued at a time.</w:t>
      </w:r>
    </w:p>
    <w:p w14:paraId="58FD3274" w14:textId="10997DF6"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Lost prescription or medication requested early will only be issued in exceptional circumstances.</w:t>
      </w:r>
      <w:r w:rsidR="00CA578F" w:rsidRPr="00963819">
        <w:rPr>
          <w:rFonts w:ascii="Lato" w:eastAsia="Times New Roman" w:hAnsi="Lato" w:cs="Times New Roman"/>
          <w:kern w:val="0"/>
          <w:lang w:eastAsia="en-GB"/>
          <w14:ligatures w14:val="none"/>
        </w:rPr>
        <w:t xml:space="preserve"> You will be required to complete a lost medication form (</w:t>
      </w:r>
      <w:r w:rsidR="001918FD">
        <w:rPr>
          <w:rFonts w:ascii="Lato" w:eastAsia="Times New Roman" w:hAnsi="Lato" w:cs="Times New Roman"/>
          <w:kern w:val="0"/>
          <w:lang w:eastAsia="en-GB"/>
          <w14:ligatures w14:val="none"/>
        </w:rPr>
        <w:t xml:space="preserve">See </w:t>
      </w:r>
      <w:hyperlink w:anchor="LostDrugsForm" w:history="1">
        <w:r w:rsidR="00FD76B1" w:rsidRPr="00346436">
          <w:rPr>
            <w:rStyle w:val="Hyperlink"/>
          </w:rPr>
          <w:t>NOTIFICATION</w:t>
        </w:r>
        <w:r w:rsidR="00FD76B1" w:rsidRPr="00346436">
          <w:rPr>
            <w:rStyle w:val="Hyperlink"/>
            <w:spacing w:val="-7"/>
          </w:rPr>
          <w:t xml:space="preserve"> </w:t>
        </w:r>
        <w:r w:rsidR="00FD76B1" w:rsidRPr="00346436">
          <w:rPr>
            <w:rStyle w:val="Hyperlink"/>
          </w:rPr>
          <w:t>OF</w:t>
        </w:r>
        <w:r w:rsidR="00FD76B1" w:rsidRPr="00346436">
          <w:rPr>
            <w:rStyle w:val="Hyperlink"/>
            <w:spacing w:val="-4"/>
          </w:rPr>
          <w:t xml:space="preserve"> </w:t>
        </w:r>
        <w:r w:rsidR="00FD76B1" w:rsidRPr="00346436">
          <w:rPr>
            <w:rStyle w:val="Hyperlink"/>
          </w:rPr>
          <w:t>THEFT/UNACCOUNTED</w:t>
        </w:r>
        <w:r w:rsidR="00FD76B1" w:rsidRPr="00346436">
          <w:rPr>
            <w:rStyle w:val="Hyperlink"/>
            <w:spacing w:val="-3"/>
          </w:rPr>
          <w:t xml:space="preserve"> </w:t>
        </w:r>
        <w:r w:rsidR="00FD76B1" w:rsidRPr="00346436">
          <w:rPr>
            <w:rStyle w:val="Hyperlink"/>
          </w:rPr>
          <w:t>LOSS</w:t>
        </w:r>
        <w:r w:rsidR="00FD76B1" w:rsidRPr="00346436">
          <w:rPr>
            <w:rStyle w:val="Hyperlink"/>
            <w:spacing w:val="-6"/>
          </w:rPr>
          <w:t xml:space="preserve"> </w:t>
        </w:r>
        <w:r w:rsidR="00FD76B1" w:rsidRPr="00346436">
          <w:rPr>
            <w:rStyle w:val="Hyperlink"/>
          </w:rPr>
          <w:t>OF</w:t>
        </w:r>
        <w:r w:rsidR="0099141B">
          <w:rPr>
            <w:rStyle w:val="Hyperlink"/>
          </w:rPr>
          <w:t xml:space="preserve"> </w:t>
        </w:r>
        <w:r w:rsidR="00FD76B1" w:rsidRPr="00346436">
          <w:rPr>
            <w:rStyle w:val="Hyperlink"/>
            <w:spacing w:val="-2"/>
          </w:rPr>
          <w:t>DRUGS</w:t>
        </w:r>
      </w:hyperlink>
      <w:r w:rsidR="00CA578F" w:rsidRPr="00963819">
        <w:rPr>
          <w:rFonts w:ascii="Lato" w:eastAsia="Times New Roman" w:hAnsi="Lato" w:cs="Times New Roman"/>
          <w:kern w:val="0"/>
          <w:lang w:eastAsia="en-GB"/>
          <w14:ligatures w14:val="none"/>
        </w:rPr>
        <w:t xml:space="preserve">) to assess the risk of these lost medications to the public and to ensure an audit trail is available to highlight patterns of behaviour and risk. </w:t>
      </w:r>
    </w:p>
    <w:p w14:paraId="04856EAD" w14:textId="77777777" w:rsidR="00FB2A04" w:rsidRPr="00FB2A04" w:rsidRDefault="00FB2A04" w:rsidP="00FB2A04">
      <w:pPr>
        <w:numPr>
          <w:ilvl w:val="0"/>
          <w:numId w:val="2"/>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All opioid prescriptions will include full directions wherever possible and use of ‘as directed’ directions will be avoided.</w:t>
      </w:r>
    </w:p>
    <w:p w14:paraId="76A7EE0F" w14:textId="77777777" w:rsidR="00224C6D" w:rsidRPr="00963819" w:rsidRDefault="00224C6D" w:rsidP="00FB2A04">
      <w:pPr>
        <w:shd w:val="clear" w:color="auto" w:fill="FFFFFF"/>
        <w:spacing w:after="0" w:line="240" w:lineRule="auto"/>
        <w:rPr>
          <w:rFonts w:ascii="Lato" w:eastAsia="Times New Roman" w:hAnsi="Lato" w:cs="Times New Roman"/>
          <w:kern w:val="0"/>
          <w:lang w:eastAsia="en-GB"/>
          <w14:ligatures w14:val="none"/>
        </w:rPr>
      </w:pPr>
    </w:p>
    <w:p w14:paraId="74E9A905" w14:textId="5E2CD035" w:rsidR="00FB2A04" w:rsidRPr="00963819" w:rsidRDefault="00FB2A04" w:rsidP="007C1EBF">
      <w:pPr>
        <w:pStyle w:val="DrugPolicyheaders"/>
      </w:pPr>
      <w:bookmarkStart w:id="4" w:name="_Toc182314737"/>
      <w:r w:rsidRPr="00FB2A04">
        <w:t>REVIEW OF OPIOID PRESCRI</w:t>
      </w:r>
      <w:r w:rsidR="00963819" w:rsidRPr="00963819">
        <w:t>BING</w:t>
      </w:r>
      <w:bookmarkEnd w:id="4"/>
    </w:p>
    <w:p w14:paraId="6A2952F2" w14:textId="77777777" w:rsidR="00224C6D" w:rsidRPr="00FB2A04" w:rsidRDefault="00224C6D" w:rsidP="00FB2A04">
      <w:pPr>
        <w:shd w:val="clear" w:color="auto" w:fill="FFFFFF"/>
        <w:spacing w:after="0" w:line="240" w:lineRule="auto"/>
        <w:rPr>
          <w:rFonts w:ascii="Lato" w:eastAsia="Times New Roman" w:hAnsi="Lato" w:cs="Times New Roman"/>
          <w:kern w:val="0"/>
          <w:lang w:eastAsia="en-GB"/>
          <w14:ligatures w14:val="none"/>
        </w:rPr>
      </w:pPr>
    </w:p>
    <w:p w14:paraId="4306246B" w14:textId="77777777" w:rsidR="00FB2A04" w:rsidRDefault="00FB2A04" w:rsidP="00FB2A04">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We know there are patients who have been taking these medications for </w:t>
      </w:r>
      <w:proofErr w:type="gramStart"/>
      <w:r w:rsidRPr="00FB2A04">
        <w:rPr>
          <w:rFonts w:ascii="Lato" w:eastAsia="Times New Roman" w:hAnsi="Lato" w:cs="Times New Roman"/>
          <w:kern w:val="0"/>
          <w:lang w:eastAsia="en-GB"/>
          <w14:ligatures w14:val="none"/>
        </w:rPr>
        <w:t>a number of</w:t>
      </w:r>
      <w:proofErr w:type="gramEnd"/>
      <w:r w:rsidRPr="00FB2A04">
        <w:rPr>
          <w:rFonts w:ascii="Lato" w:eastAsia="Times New Roman" w:hAnsi="Lato" w:cs="Times New Roman"/>
          <w:kern w:val="0"/>
          <w:lang w:eastAsia="en-GB"/>
          <w14:ligatures w14:val="none"/>
        </w:rPr>
        <w:t xml:space="preserve"> years. We will need to review these patients and discuss slowly weaning off their opioid medication. This will be done either with their usual doctor or with our in-house pharmacist.</w:t>
      </w:r>
    </w:p>
    <w:p w14:paraId="548C4A95" w14:textId="77777777" w:rsidR="00F63794" w:rsidRPr="00FB2A04" w:rsidRDefault="00F63794" w:rsidP="00FB2A04">
      <w:pPr>
        <w:shd w:val="clear" w:color="auto" w:fill="FFFFFF"/>
        <w:spacing w:after="0" w:line="240" w:lineRule="auto"/>
        <w:rPr>
          <w:rFonts w:ascii="Lato" w:eastAsia="Times New Roman" w:hAnsi="Lato" w:cs="Times New Roman"/>
          <w:kern w:val="0"/>
          <w:lang w:eastAsia="en-GB"/>
          <w14:ligatures w14:val="none"/>
        </w:rPr>
      </w:pPr>
    </w:p>
    <w:p w14:paraId="57ADFCCF" w14:textId="77777777" w:rsidR="00BE4DDC" w:rsidRPr="00963819" w:rsidRDefault="00FB2A04" w:rsidP="00FB2A04">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We appreciate that for a patient who has been taking opioids for </w:t>
      </w:r>
      <w:proofErr w:type="gramStart"/>
      <w:r w:rsidRPr="00FB2A04">
        <w:rPr>
          <w:rFonts w:ascii="Lato" w:eastAsia="Times New Roman" w:hAnsi="Lato" w:cs="Times New Roman"/>
          <w:kern w:val="0"/>
          <w:lang w:eastAsia="en-GB"/>
          <w14:ligatures w14:val="none"/>
        </w:rPr>
        <w:t>a number of</w:t>
      </w:r>
      <w:proofErr w:type="gramEnd"/>
      <w:r w:rsidRPr="00FB2A04">
        <w:rPr>
          <w:rFonts w:ascii="Lato" w:eastAsia="Times New Roman" w:hAnsi="Lato" w:cs="Times New Roman"/>
          <w:kern w:val="0"/>
          <w:lang w:eastAsia="en-GB"/>
          <w14:ligatures w14:val="none"/>
        </w:rPr>
        <w:t xml:space="preserve"> years, there may be a sense that they won’t be able to cope without them. Evidence does show that we can reduce withdrawal symptoms by reducing the dose of the opioid medication slowly. The reduction schedule would be individualised for each patient. </w:t>
      </w:r>
    </w:p>
    <w:p w14:paraId="4BFB8D97" w14:textId="77777777" w:rsidR="00BE4DDC" w:rsidRPr="00963819" w:rsidRDefault="00BE4DDC" w:rsidP="00FB2A04">
      <w:pPr>
        <w:shd w:val="clear" w:color="auto" w:fill="FFFFFF"/>
        <w:spacing w:after="0" w:line="240" w:lineRule="auto"/>
        <w:rPr>
          <w:rFonts w:ascii="Lato" w:eastAsia="Times New Roman" w:hAnsi="Lato" w:cs="Times New Roman"/>
          <w:kern w:val="0"/>
          <w:lang w:eastAsia="en-GB"/>
          <w14:ligatures w14:val="none"/>
        </w:rPr>
      </w:pPr>
    </w:p>
    <w:p w14:paraId="4C37B70E" w14:textId="5CD69317" w:rsidR="00BE4DDC" w:rsidRPr="00963819" w:rsidRDefault="00BE4DDC" w:rsidP="00FB2A04">
      <w:pPr>
        <w:shd w:val="clear" w:color="auto" w:fill="FFFFFF"/>
        <w:spacing w:after="0" w:line="240" w:lineRule="auto"/>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If it is necessary to prescribe opioid medication</w:t>
      </w:r>
      <w:r w:rsidR="00F63794">
        <w:rPr>
          <w:rFonts w:ascii="Lato" w:eastAsia="Times New Roman" w:hAnsi="Lato" w:cs="Arial"/>
          <w:color w:val="0B0C0C"/>
          <w:kern w:val="0"/>
          <w:lang w:eastAsia="en-GB"/>
          <w14:ligatures w14:val="none"/>
        </w:rPr>
        <w:t xml:space="preserve"> </w:t>
      </w:r>
      <w:r w:rsidRPr="00963819">
        <w:rPr>
          <w:rFonts w:ascii="Lato" w:eastAsia="Times New Roman" w:hAnsi="Lato" w:cs="Arial"/>
          <w:color w:val="0B0C0C"/>
          <w:kern w:val="0"/>
          <w:lang w:eastAsia="en-GB"/>
          <w14:ligatures w14:val="none"/>
        </w:rPr>
        <w:t xml:space="preserve">a GP will discuss: </w:t>
      </w:r>
    </w:p>
    <w:p w14:paraId="1CB049A4" w14:textId="77777777" w:rsidR="00EB4308" w:rsidRPr="00963819" w:rsidRDefault="00EB4308" w:rsidP="00FB2A04">
      <w:pPr>
        <w:shd w:val="clear" w:color="auto" w:fill="FFFFFF"/>
        <w:spacing w:after="0" w:line="240" w:lineRule="auto"/>
        <w:rPr>
          <w:rFonts w:ascii="Lato" w:eastAsia="Times New Roman" w:hAnsi="Lato" w:cs="Times New Roman"/>
          <w:kern w:val="0"/>
          <w:lang w:eastAsia="en-GB"/>
          <w14:ligatures w14:val="none"/>
        </w:rPr>
      </w:pPr>
    </w:p>
    <w:p w14:paraId="28B1E24D" w14:textId="35BD3941" w:rsidR="00BE4DDC" w:rsidRPr="00F63794" w:rsidRDefault="00EB4308" w:rsidP="00F63794">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before starting treatment with opioids, a treatment strategy</w:t>
      </w:r>
      <w:r w:rsidR="00224C6D" w:rsidRPr="00963819">
        <w:rPr>
          <w:rFonts w:ascii="Lato" w:eastAsia="Times New Roman" w:hAnsi="Lato" w:cs="Arial"/>
          <w:color w:val="0B0C0C"/>
          <w:kern w:val="0"/>
          <w:lang w:eastAsia="en-GB"/>
          <w14:ligatures w14:val="none"/>
        </w:rPr>
        <w:t xml:space="preserve"> will be agreed with the patient</w:t>
      </w:r>
      <w:r w:rsidRPr="00BE4DDC">
        <w:rPr>
          <w:rFonts w:ascii="Lato" w:eastAsia="Times New Roman" w:hAnsi="Lato" w:cs="Arial"/>
          <w:color w:val="0B0C0C"/>
          <w:kern w:val="0"/>
          <w:lang w:eastAsia="en-GB"/>
          <w14:ligatures w14:val="none"/>
        </w:rPr>
        <w:t xml:space="preserve"> and plan for end of treatment</w:t>
      </w:r>
      <w:r w:rsidR="00F63794">
        <w:rPr>
          <w:rFonts w:ascii="Lato" w:eastAsia="Times New Roman" w:hAnsi="Lato" w:cs="Arial"/>
          <w:color w:val="0B0C0C"/>
          <w:kern w:val="0"/>
          <w:lang w:eastAsia="en-GB"/>
          <w14:ligatures w14:val="none"/>
        </w:rPr>
        <w:t>.</w:t>
      </w:r>
    </w:p>
    <w:p w14:paraId="42FF7140" w14:textId="1D6A1F86" w:rsidR="00F63794" w:rsidRPr="00F63794" w:rsidRDefault="00F63794" w:rsidP="00F63794">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 xml:space="preserve">All patients newly initiated on opioid medication will be reviewed within 2-4 weeks of initiation, pain assessed, and a decision made as to the effectiveness of the drug. A small proportion of people may obtain good pain relief with opioids in the long term if the dose can be kept low and </w:t>
      </w:r>
      <w:r w:rsidRPr="00ED4172">
        <w:rPr>
          <w:rFonts w:ascii="Lato" w:eastAsia="Times New Roman" w:hAnsi="Lato" w:cs="Arial"/>
          <w:color w:val="0B0C0C"/>
          <w:kern w:val="0"/>
          <w:lang w:eastAsia="en-GB"/>
          <w14:ligatures w14:val="none"/>
        </w:rPr>
        <w:t xml:space="preserve">especially if the use is intermittent. </w:t>
      </w:r>
    </w:p>
    <w:p w14:paraId="0725DD90" w14:textId="1FA01E93" w:rsidR="00BE4DDC"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t xml:space="preserve">that </w:t>
      </w:r>
      <w:r w:rsidRPr="00BE4DDC">
        <w:rPr>
          <w:rFonts w:ascii="Lato" w:eastAsia="Times New Roman" w:hAnsi="Lato" w:cs="Arial"/>
          <w:color w:val="0B0C0C"/>
          <w:kern w:val="0"/>
          <w:lang w:eastAsia="en-GB"/>
          <w14:ligatures w14:val="none"/>
        </w:rPr>
        <w:t>opioid medicines (opioids) provide relief from serious short-term pain; however long-term use in non-cancer pain (longer than 3 months) carries an increased risk of dependence and addiction</w:t>
      </w:r>
      <w:r w:rsidR="00EB4308" w:rsidRPr="00963819">
        <w:rPr>
          <w:rFonts w:ascii="Lato" w:eastAsia="Times New Roman" w:hAnsi="Lato" w:cs="Arial"/>
          <w:color w:val="0B0C0C"/>
          <w:kern w:val="0"/>
          <w:lang w:eastAsia="en-GB"/>
          <w14:ligatures w14:val="none"/>
        </w:rPr>
        <w:t xml:space="preserve"> and there is little evidence for this use. </w:t>
      </w:r>
    </w:p>
    <w:p w14:paraId="19F1F5DB" w14:textId="5EFADEDC" w:rsidR="00F63794" w:rsidRPr="00963819" w:rsidRDefault="00F63794" w:rsidP="00BE4DDC">
      <w:pPr>
        <w:numPr>
          <w:ilvl w:val="0"/>
          <w:numId w:val="4"/>
        </w:numPr>
        <w:spacing w:after="75" w:line="240" w:lineRule="auto"/>
        <w:ind w:left="1020"/>
        <w:rPr>
          <w:rFonts w:ascii="Lato" w:eastAsia="Times New Roman" w:hAnsi="Lato" w:cs="Arial"/>
          <w:color w:val="0B0C0C"/>
          <w:kern w:val="0"/>
          <w:lang w:eastAsia="en-GB"/>
          <w14:ligatures w14:val="none"/>
        </w:rPr>
      </w:pPr>
      <w:r>
        <w:rPr>
          <w:rFonts w:ascii="Lato" w:eastAsia="Times New Roman" w:hAnsi="Lato" w:cs="Arial"/>
          <w:color w:val="0B0C0C"/>
          <w:kern w:val="0"/>
          <w:lang w:eastAsia="en-GB"/>
          <w14:ligatures w14:val="none"/>
        </w:rPr>
        <w:t xml:space="preserve">If opioid medication is maintained longer than 3 months a rationale for ongoing treatment should be provided in the context of risk and benefit of this treatment. A review of medication will therefore be organised at 3 months of treatment. </w:t>
      </w:r>
      <w:r w:rsidR="004040BD">
        <w:rPr>
          <w:rFonts w:ascii="Lato" w:eastAsia="Times New Roman" w:hAnsi="Lato" w:cs="Arial"/>
          <w:color w:val="0B0C0C"/>
          <w:kern w:val="0"/>
          <w:lang w:eastAsia="en-GB"/>
          <w14:ligatures w14:val="none"/>
        </w:rPr>
        <w:t xml:space="preserve">N.B. an opioid contract should be agreed in writing at this time. </w:t>
      </w:r>
    </w:p>
    <w:p w14:paraId="4395316B" w14:textId="77777777" w:rsidR="00E308FD" w:rsidRPr="00ED4172" w:rsidRDefault="00E308FD" w:rsidP="00E308FD">
      <w:pPr>
        <w:numPr>
          <w:ilvl w:val="0"/>
          <w:numId w:val="4"/>
        </w:numPr>
        <w:spacing w:after="75" w:line="240" w:lineRule="auto"/>
        <w:ind w:left="1020"/>
        <w:rPr>
          <w:rFonts w:ascii="Lato" w:eastAsia="Times New Roman" w:hAnsi="Lato" w:cs="Arial"/>
          <w:color w:val="0B0C0C"/>
          <w:kern w:val="0"/>
          <w:lang w:eastAsia="en-GB"/>
          <w14:ligatures w14:val="none"/>
        </w:rPr>
      </w:pPr>
      <w:r w:rsidRPr="00EB4308">
        <w:rPr>
          <w:rFonts w:ascii="Lato" w:eastAsia="Times New Roman" w:hAnsi="Lato" w:cs="Arial"/>
          <w:color w:val="1E1E1F"/>
          <w:kern w:val="0"/>
          <w:lang w:eastAsia="en-GB"/>
          <w14:ligatures w14:val="none"/>
        </w:rPr>
        <w:t>If a patient has pain that remains severe despite opioid treatment it means they are not working and should be stopped, even if no other treatment is available.</w:t>
      </w:r>
    </w:p>
    <w:p w14:paraId="4417555F" w14:textId="1F801000" w:rsidR="00E308FD" w:rsidRPr="00EB4308" w:rsidRDefault="00E308FD" w:rsidP="00E308FD">
      <w:pPr>
        <w:numPr>
          <w:ilvl w:val="0"/>
          <w:numId w:val="4"/>
        </w:numPr>
        <w:spacing w:after="75" w:line="240" w:lineRule="auto"/>
        <w:ind w:left="1020"/>
        <w:rPr>
          <w:rFonts w:ascii="Lato" w:eastAsia="Times New Roman" w:hAnsi="Lato" w:cs="Arial"/>
          <w:color w:val="0B0C0C"/>
          <w:kern w:val="0"/>
          <w:lang w:eastAsia="en-GB"/>
          <w14:ligatures w14:val="none"/>
        </w:rPr>
      </w:pPr>
      <w:r w:rsidRPr="00FB2A04">
        <w:rPr>
          <w:rFonts w:ascii="Lato" w:eastAsia="Times New Roman" w:hAnsi="Lato" w:cs="Times New Roman"/>
          <w:kern w:val="0"/>
          <w:lang w:eastAsia="en-GB"/>
          <w14:ligatures w14:val="none"/>
        </w:rPr>
        <w:t>Wherever possible, patients will see the same prescriber for review of their opioid prescription.</w:t>
      </w:r>
    </w:p>
    <w:p w14:paraId="0CEEA41A" w14:textId="374A4DBA" w:rsidR="00EB4308" w:rsidRPr="00BE4DDC" w:rsidRDefault="00EB4308"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963819">
        <w:rPr>
          <w:rFonts w:ascii="Lato" w:eastAsia="Times New Roman" w:hAnsi="Lato" w:cs="Arial"/>
          <w:color w:val="0B0C0C"/>
          <w:kern w:val="0"/>
          <w:lang w:eastAsia="en-GB"/>
          <w14:ligatures w14:val="none"/>
        </w:rPr>
        <w:lastRenderedPageBreak/>
        <w:t>The risk of harm increases substantially at doses above an oral morphine equivalent of 120mg / day (OME), but there is no increased benefit: Tapering and stopping high dose opio</w:t>
      </w:r>
      <w:r w:rsidR="00F63794">
        <w:rPr>
          <w:rFonts w:ascii="Lato" w:eastAsia="Times New Roman" w:hAnsi="Lato" w:cs="Arial"/>
          <w:color w:val="0B0C0C"/>
          <w:kern w:val="0"/>
          <w:lang w:eastAsia="en-GB"/>
          <w14:ligatures w14:val="none"/>
        </w:rPr>
        <w:t>i</w:t>
      </w:r>
      <w:r w:rsidRPr="00963819">
        <w:rPr>
          <w:rFonts w:ascii="Lato" w:eastAsia="Times New Roman" w:hAnsi="Lato" w:cs="Arial"/>
          <w:color w:val="0B0C0C"/>
          <w:kern w:val="0"/>
          <w:lang w:eastAsia="en-GB"/>
          <w14:ligatures w14:val="none"/>
        </w:rPr>
        <w:t xml:space="preserve">ds needs careful planning and this involves collaboration between the GP and patient to achieve a shared goal of safe effective prescribing. </w:t>
      </w:r>
    </w:p>
    <w:p w14:paraId="52B19176" w14:textId="4DA7FD58" w:rsidR="00BE4DDC" w:rsidRPr="00BE4DDC"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with patients that prolonged use of opioids may lead to drug dependence and addiction, even at therapeutic doses – warnings have been added to the labels (packaging) of UK opioid medicines to support patient awareness</w:t>
      </w:r>
    </w:p>
    <w:p w14:paraId="3454167E" w14:textId="6546E233" w:rsidR="00BE4DDC" w:rsidRPr="00BE4DDC" w:rsidRDefault="00BE4DDC" w:rsidP="00BE4DDC">
      <w:pPr>
        <w:numPr>
          <w:ilvl w:val="0"/>
          <w:numId w:val="4"/>
        </w:numPr>
        <w:spacing w:before="240"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explain the risks of tolerance and potentially fatal unintentional overdose, and counsel patients and caregivers on signs and symptoms of opioid overdose to be aware of (see </w:t>
      </w:r>
      <w:hyperlink r:id="rId8" w:history="1">
        <w:r w:rsidRPr="00BE4DDC">
          <w:rPr>
            <w:rFonts w:ascii="Lato" w:eastAsia="Times New Roman" w:hAnsi="Lato" w:cs="Arial"/>
            <w:color w:val="1D70B8"/>
            <w:kern w:val="0"/>
            <w:u w:val="single"/>
            <w:lang w:eastAsia="en-GB"/>
            <w14:ligatures w14:val="none"/>
          </w:rPr>
          <w:t>opioids safety information leaflet</w:t>
        </w:r>
      </w:hyperlink>
      <w:r w:rsidRPr="00963819">
        <w:rPr>
          <w:rFonts w:ascii="Lato" w:eastAsia="Times New Roman" w:hAnsi="Lato" w:cs="Arial"/>
          <w:color w:val="0B0C0C"/>
          <w:kern w:val="0"/>
          <w:lang w:eastAsia="en-GB"/>
          <w14:ligatures w14:val="none"/>
        </w:rPr>
        <w:t xml:space="preserve"> (</w:t>
      </w:r>
      <w:hyperlink r:id="rId9" w:history="1">
        <w:r w:rsidRPr="00963819">
          <w:rPr>
            <w:rStyle w:val="Hyperlink"/>
            <w:rFonts w:ascii="Lato" w:hAnsi="Lato"/>
          </w:rPr>
          <w:t>Opioid medicines and the risk of addiction - GOV.UK (www.gov.uk)</w:t>
        </w:r>
      </w:hyperlink>
      <w:r w:rsidRPr="00963819">
        <w:rPr>
          <w:rFonts w:ascii="Lato" w:hAnsi="Lato"/>
        </w:rPr>
        <w:t>)</w:t>
      </w:r>
      <w:r w:rsidRPr="00BE4DDC">
        <w:rPr>
          <w:rFonts w:ascii="Lato" w:eastAsia="Times New Roman" w:hAnsi="Lato" w:cs="Arial"/>
          <w:color w:val="0B0C0C"/>
          <w:kern w:val="0"/>
          <w:lang w:eastAsia="en-GB"/>
          <w14:ligatures w14:val="none"/>
        </w:rPr>
        <w:t> plus </w:t>
      </w:r>
      <w:hyperlink r:id="rId10" w:history="1">
        <w:r w:rsidRPr="00BE4DDC">
          <w:rPr>
            <w:rFonts w:ascii="Lato" w:eastAsia="Times New Roman" w:hAnsi="Lato" w:cs="Arial"/>
            <w:color w:val="1D70B8"/>
            <w:kern w:val="0"/>
            <w:u w:val="single"/>
            <w:lang w:eastAsia="en-GB"/>
            <w14:ligatures w14:val="none"/>
          </w:rPr>
          <w:t>PDF leaflet</w:t>
        </w:r>
      </w:hyperlink>
      <w:r w:rsidRPr="00963819">
        <w:rPr>
          <w:rFonts w:ascii="Lato" w:eastAsia="Times New Roman" w:hAnsi="Lato" w:cs="Arial"/>
          <w:color w:val="0B0C0C"/>
          <w:kern w:val="0"/>
          <w:lang w:eastAsia="en-GB"/>
          <w14:ligatures w14:val="none"/>
        </w:rPr>
        <w:t xml:space="preserve"> (</w:t>
      </w:r>
      <w:hyperlink r:id="rId11" w:history="1">
        <w:r w:rsidRPr="00963819">
          <w:rPr>
            <w:rStyle w:val="Hyperlink"/>
            <w:rFonts w:ascii="Lato" w:hAnsi="Lato"/>
          </w:rPr>
          <w:t>letter (publishing.service.gov.uk)</w:t>
        </w:r>
      </w:hyperlink>
      <w:r w:rsidRPr="00963819">
        <w:rPr>
          <w:rFonts w:ascii="Lato" w:hAnsi="Lato"/>
        </w:rPr>
        <w:t>)</w:t>
      </w:r>
    </w:p>
    <w:p w14:paraId="18EFB160" w14:textId="77777777" w:rsidR="00BE4DDC" w:rsidRPr="00963819" w:rsidRDefault="00BE4DDC" w:rsidP="00BE4DDC">
      <w:pPr>
        <w:numPr>
          <w:ilvl w:val="0"/>
          <w:numId w:val="4"/>
        </w:numPr>
        <w:spacing w:after="75" w:line="240" w:lineRule="auto"/>
        <w:ind w:left="1020"/>
        <w:rPr>
          <w:rFonts w:ascii="Lato" w:eastAsia="Times New Roman" w:hAnsi="Lato" w:cs="Arial"/>
          <w:color w:val="0B0C0C"/>
          <w:kern w:val="0"/>
          <w:lang w:eastAsia="en-GB"/>
          <w14:ligatures w14:val="none"/>
        </w:rPr>
      </w:pPr>
      <w:r w:rsidRPr="00BE4DDC">
        <w:rPr>
          <w:rFonts w:ascii="Lato" w:eastAsia="Times New Roman" w:hAnsi="Lato" w:cs="Arial"/>
          <w:color w:val="0B0C0C"/>
          <w:kern w:val="0"/>
          <w:lang w:eastAsia="en-GB"/>
          <w14:ligatures w14:val="none"/>
        </w:rPr>
        <w:t xml:space="preserve">provide regular monitoring and support especially to individuals at increased risk, such as those with current or </w:t>
      </w:r>
      <w:proofErr w:type="gramStart"/>
      <w:r w:rsidRPr="00BE4DDC">
        <w:rPr>
          <w:rFonts w:ascii="Lato" w:eastAsia="Times New Roman" w:hAnsi="Lato" w:cs="Arial"/>
          <w:color w:val="0B0C0C"/>
          <w:kern w:val="0"/>
          <w:lang w:eastAsia="en-GB"/>
          <w14:ligatures w14:val="none"/>
        </w:rPr>
        <w:t>past history</w:t>
      </w:r>
      <w:proofErr w:type="gramEnd"/>
      <w:r w:rsidRPr="00BE4DDC">
        <w:rPr>
          <w:rFonts w:ascii="Lato" w:eastAsia="Times New Roman" w:hAnsi="Lato" w:cs="Arial"/>
          <w:color w:val="0B0C0C"/>
          <w:kern w:val="0"/>
          <w:lang w:eastAsia="en-GB"/>
          <w14:ligatures w14:val="none"/>
        </w:rPr>
        <w:t xml:space="preserve"> of substance use disorder (including alcohol misuse) or mental health disorder</w:t>
      </w:r>
    </w:p>
    <w:p w14:paraId="687497E6" w14:textId="36E03D80" w:rsidR="00EB4308" w:rsidRPr="00963819" w:rsidRDefault="00EB4308"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Patients on long-term opioids will be reviewed every 6 months to discuss slowly weaning off their opioid medication. Treatment will only be continued where there is clear on-going evidence of benefit.</w:t>
      </w:r>
    </w:p>
    <w:p w14:paraId="3E74676F" w14:textId="6F6A0A86" w:rsidR="00BE4DDC" w:rsidRPr="00F63794" w:rsidRDefault="00BE4DDC"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sidRPr="00BE4DDC">
        <w:rPr>
          <w:rFonts w:ascii="Lato" w:eastAsia="Times New Roman" w:hAnsi="Lato" w:cs="Arial"/>
          <w:color w:val="0B0C0C"/>
          <w:kern w:val="0"/>
          <w:lang w:eastAsia="en-GB"/>
          <w14:ligatures w14:val="none"/>
        </w:rPr>
        <w:t xml:space="preserve">at the end of treatment, </w:t>
      </w:r>
      <w:r w:rsidR="00224C6D" w:rsidRPr="00963819">
        <w:rPr>
          <w:rFonts w:ascii="Lato" w:eastAsia="Times New Roman" w:hAnsi="Lato" w:cs="Arial"/>
          <w:color w:val="0B0C0C"/>
          <w:kern w:val="0"/>
          <w:lang w:eastAsia="en-GB"/>
          <w14:ligatures w14:val="none"/>
        </w:rPr>
        <w:t xml:space="preserve">we would aim to </w:t>
      </w:r>
      <w:r w:rsidRPr="00BE4DDC">
        <w:rPr>
          <w:rFonts w:ascii="Lato" w:eastAsia="Times New Roman" w:hAnsi="Lato" w:cs="Arial"/>
          <w:color w:val="0B0C0C"/>
          <w:kern w:val="0"/>
          <w:lang w:eastAsia="en-GB"/>
          <w14:ligatures w14:val="none"/>
        </w:rPr>
        <w:t>taper</w:t>
      </w:r>
      <w:r w:rsidR="00224C6D" w:rsidRPr="00963819">
        <w:rPr>
          <w:rFonts w:ascii="Lato" w:eastAsia="Times New Roman" w:hAnsi="Lato" w:cs="Arial"/>
          <w:color w:val="0B0C0C"/>
          <w:kern w:val="0"/>
          <w:lang w:eastAsia="en-GB"/>
          <w14:ligatures w14:val="none"/>
        </w:rPr>
        <w:t xml:space="preserve"> the</w:t>
      </w:r>
      <w:r w:rsidRPr="00BE4DDC">
        <w:rPr>
          <w:rFonts w:ascii="Lato" w:eastAsia="Times New Roman" w:hAnsi="Lato" w:cs="Arial"/>
          <w:color w:val="0B0C0C"/>
          <w:kern w:val="0"/>
          <w:lang w:eastAsia="en-GB"/>
          <w14:ligatures w14:val="none"/>
        </w:rPr>
        <w:t xml:space="preserve"> dosage slowly to reduce the risk of withdrawal effects associated with sudden cessation of opioids; tapering from a high dose may take weeks or months</w:t>
      </w:r>
      <w:r w:rsidR="00F63794">
        <w:rPr>
          <w:rFonts w:ascii="Lato" w:eastAsia="Times New Roman" w:hAnsi="Lato" w:cs="Arial"/>
          <w:color w:val="0B0C0C"/>
          <w:kern w:val="0"/>
          <w:lang w:eastAsia="en-GB"/>
          <w14:ligatures w14:val="none"/>
        </w:rPr>
        <w:t xml:space="preserve">. </w:t>
      </w:r>
    </w:p>
    <w:p w14:paraId="170002BF" w14:textId="72EA49EE" w:rsidR="00F63794" w:rsidRPr="00BE4DDC" w:rsidRDefault="00F63794" w:rsidP="00EB4308">
      <w:pPr>
        <w:numPr>
          <w:ilvl w:val="0"/>
          <w:numId w:val="4"/>
        </w:numPr>
        <w:shd w:val="clear" w:color="auto" w:fill="FFFFFF"/>
        <w:spacing w:before="100" w:beforeAutospacing="1" w:after="100" w:afterAutospacing="1" w:line="240" w:lineRule="auto"/>
        <w:rPr>
          <w:rFonts w:ascii="Lato" w:eastAsia="Times New Roman" w:hAnsi="Lato" w:cs="Times New Roman"/>
          <w:kern w:val="0"/>
          <w:lang w:eastAsia="en-GB"/>
          <w14:ligatures w14:val="none"/>
        </w:rPr>
      </w:pPr>
      <w:r>
        <w:rPr>
          <w:rFonts w:ascii="Lato" w:eastAsia="Times New Roman" w:hAnsi="Lato" w:cs="Arial"/>
          <w:color w:val="0B0C0C"/>
          <w:kern w:val="0"/>
          <w:lang w:eastAsia="en-GB"/>
          <w14:ligatures w14:val="none"/>
        </w:rPr>
        <w:t xml:space="preserve">All non-malignant strong opioid treatment will have a ‘pop </w:t>
      </w:r>
      <w:proofErr w:type="gramStart"/>
      <w:r>
        <w:rPr>
          <w:rFonts w:ascii="Lato" w:eastAsia="Times New Roman" w:hAnsi="Lato" w:cs="Arial"/>
          <w:color w:val="0B0C0C"/>
          <w:kern w:val="0"/>
          <w:lang w:eastAsia="en-GB"/>
          <w14:ligatures w14:val="none"/>
        </w:rPr>
        <w:t>up;</w:t>
      </w:r>
      <w:proofErr w:type="gramEnd"/>
      <w:r>
        <w:rPr>
          <w:rFonts w:ascii="Lato" w:eastAsia="Times New Roman" w:hAnsi="Lato" w:cs="Arial"/>
          <w:color w:val="0B0C0C"/>
          <w:kern w:val="0"/>
          <w:lang w:eastAsia="en-GB"/>
          <w14:ligatures w14:val="none"/>
        </w:rPr>
        <w:t xml:space="preserve"> flagging the date of initial agreement and the date for the 3 month review. As scripts will be issued on ‘acute’ this will act as a flag for the review. </w:t>
      </w:r>
    </w:p>
    <w:p w14:paraId="437E4E8B" w14:textId="77777777" w:rsidR="00BE4DDC" w:rsidRDefault="00BE4DDC" w:rsidP="00FB2A04">
      <w:pPr>
        <w:shd w:val="clear" w:color="auto" w:fill="FFFFFF"/>
        <w:spacing w:after="0" w:line="240" w:lineRule="auto"/>
        <w:rPr>
          <w:rFonts w:ascii="Lato" w:eastAsia="Times New Roman" w:hAnsi="Lato" w:cs="Times New Roman"/>
          <w:kern w:val="0"/>
          <w:lang w:eastAsia="en-GB"/>
          <w14:ligatures w14:val="none"/>
        </w:rPr>
      </w:pPr>
    </w:p>
    <w:p w14:paraId="3A14EC44" w14:textId="4681C569" w:rsidR="003F6624" w:rsidRPr="003F6624" w:rsidRDefault="003F6624" w:rsidP="007C1EBF">
      <w:pPr>
        <w:pStyle w:val="DrugPolicyheaders"/>
      </w:pPr>
      <w:bookmarkStart w:id="5" w:name="_Toc182314738"/>
      <w:r w:rsidRPr="003F6624">
        <w:t>OPIOD AND BENZODIAZEPINE CO-PRESCIBING</w:t>
      </w:r>
      <w:bookmarkEnd w:id="5"/>
    </w:p>
    <w:p w14:paraId="56F36FA2"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08C260B8" w14:textId="1AAABA9E"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It is acknowledged that there is a significantly increased risk of co-prescribing benzodiazepines and opioids. It is recognised that co-prescribing ben</w:t>
      </w:r>
      <w:r w:rsidR="00F63794">
        <w:rPr>
          <w:rFonts w:ascii="Lato" w:eastAsia="Times New Roman" w:hAnsi="Lato" w:cs="Times New Roman"/>
          <w:kern w:val="0"/>
          <w:lang w:eastAsia="en-GB"/>
          <w14:ligatures w14:val="none"/>
        </w:rPr>
        <w:t>z</w:t>
      </w:r>
      <w:r>
        <w:rPr>
          <w:rFonts w:ascii="Lato" w:eastAsia="Times New Roman" w:hAnsi="Lato" w:cs="Times New Roman"/>
          <w:kern w:val="0"/>
          <w:lang w:eastAsia="en-GB"/>
          <w14:ligatures w14:val="none"/>
        </w:rPr>
        <w:t xml:space="preserve">odiazepines (and similar drugs) with opioid medication increases the risk of sedation, respiratory depression coma and death. GPs therefore will: </w:t>
      </w:r>
    </w:p>
    <w:p w14:paraId="73235A66"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4B398ACC" w14:textId="24051C82" w:rsidR="003F6624" w:rsidRPr="003F6624" w:rsidRDefault="003F6624" w:rsidP="00FB2A04">
      <w:pPr>
        <w:shd w:val="clear" w:color="auto" w:fill="FFFFFF"/>
        <w:spacing w:after="0" w:line="240" w:lineRule="auto"/>
        <w:rPr>
          <w:rFonts w:ascii="Lato" w:eastAsia="Times New Roman" w:hAnsi="Lato" w:cs="Times New Roman"/>
          <w:kern w:val="0"/>
          <w:lang w:eastAsia="en-GB"/>
          <w14:ligatures w14:val="none"/>
        </w:rPr>
      </w:pPr>
      <w:r>
        <w:rPr>
          <w:rFonts w:ascii="Lato" w:eastAsia="Times New Roman" w:hAnsi="Lato" w:cs="Times New Roman"/>
          <w:kern w:val="0"/>
          <w:lang w:eastAsia="en-GB"/>
          <w14:ligatures w14:val="none"/>
        </w:rPr>
        <w:t xml:space="preserve"> </w:t>
      </w:r>
    </w:p>
    <w:p w14:paraId="58880A5E" w14:textId="7B6DF614"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 xml:space="preserve">only prescribe benzodiazepines (or benzodiazepine-like drugs) and </w:t>
      </w:r>
      <w:r>
        <w:rPr>
          <w:rFonts w:ascii="Lato" w:eastAsia="Times New Roman" w:hAnsi="Lato" w:cs="Arial"/>
          <w:color w:val="0B0C0C"/>
          <w:kern w:val="0"/>
          <w:lang w:eastAsia="en-GB"/>
          <w14:ligatures w14:val="none"/>
        </w:rPr>
        <w:t xml:space="preserve">strong </w:t>
      </w:r>
      <w:r w:rsidRPr="003F6624">
        <w:rPr>
          <w:rFonts w:ascii="Lato" w:eastAsia="Times New Roman" w:hAnsi="Lato" w:cs="Arial"/>
          <w:color w:val="0B0C0C"/>
          <w:kern w:val="0"/>
          <w:lang w:eastAsia="en-GB"/>
          <w14:ligatures w14:val="none"/>
        </w:rPr>
        <w:t>opioids together if there is no alternative</w:t>
      </w:r>
    </w:p>
    <w:p w14:paraId="76028DA3"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if a decision is made to co-prescribe, use the lowest doses possible for the shortest duration of time and carefully monitor patients for signs of respiratory depression</w:t>
      </w:r>
    </w:p>
    <w:p w14:paraId="5B00B015"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if there is any change in prescribing such as new interactions or dose adjustments, re-introduce close monitoring of the patient</w:t>
      </w:r>
    </w:p>
    <w:p w14:paraId="168491C9" w14:textId="77777777" w:rsidR="003F6624" w:rsidRPr="003F6624" w:rsidRDefault="003F6624" w:rsidP="003F6624">
      <w:pPr>
        <w:numPr>
          <w:ilvl w:val="0"/>
          <w:numId w:val="6"/>
        </w:numPr>
        <w:spacing w:after="75" w:line="240" w:lineRule="auto"/>
        <w:ind w:left="1020"/>
        <w:rPr>
          <w:rFonts w:ascii="Lato" w:eastAsia="Times New Roman" w:hAnsi="Lato" w:cs="Arial"/>
          <w:color w:val="0B0C0C"/>
          <w:kern w:val="0"/>
          <w:lang w:eastAsia="en-GB"/>
          <w14:ligatures w14:val="none"/>
        </w:rPr>
      </w:pPr>
      <w:r w:rsidRPr="003F6624">
        <w:rPr>
          <w:rFonts w:ascii="Lato" w:eastAsia="Times New Roman" w:hAnsi="Lato" w:cs="Arial"/>
          <w:color w:val="0B0C0C"/>
          <w:kern w:val="0"/>
          <w:lang w:eastAsia="en-GB"/>
          <w14:ligatures w14:val="none"/>
        </w:rPr>
        <w:t>advise patients of the symptoms of respiratory depression and sedation and the need to seek immediate medical attention if these occur</w:t>
      </w:r>
    </w:p>
    <w:p w14:paraId="5742B3EC"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28F55B21" w14:textId="29BB4FF7" w:rsidR="003F6624" w:rsidRPr="003F6624" w:rsidRDefault="007C1EBF" w:rsidP="007C1EBF">
      <w:pPr>
        <w:pStyle w:val="DrugPolicyheaders"/>
      </w:pPr>
      <w:bookmarkStart w:id="6" w:name="_Toc182314739"/>
      <w:r w:rsidRPr="003F6624">
        <w:lastRenderedPageBreak/>
        <w:t>RESOURCES</w:t>
      </w:r>
      <w:bookmarkEnd w:id="6"/>
    </w:p>
    <w:p w14:paraId="1CC73399" w14:textId="77777777" w:rsidR="003F6624"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776793F2" w14:textId="77777777" w:rsidR="003F6624" w:rsidRPr="00963819" w:rsidRDefault="003F6624" w:rsidP="00FB2A04">
      <w:pPr>
        <w:shd w:val="clear" w:color="auto" w:fill="FFFFFF"/>
        <w:spacing w:after="0" w:line="240" w:lineRule="auto"/>
        <w:rPr>
          <w:rFonts w:ascii="Lato" w:eastAsia="Times New Roman" w:hAnsi="Lato" w:cs="Times New Roman"/>
          <w:kern w:val="0"/>
          <w:lang w:eastAsia="en-GB"/>
          <w14:ligatures w14:val="none"/>
        </w:rPr>
      </w:pPr>
    </w:p>
    <w:p w14:paraId="6DFD8506" w14:textId="3028DBE9" w:rsidR="00BE4DDC" w:rsidRPr="00963819" w:rsidRDefault="00FB2A04" w:rsidP="00224C6D">
      <w:pPr>
        <w:shd w:val="clear" w:color="auto" w:fill="FFFFFF"/>
        <w:spacing w:after="0" w:line="240" w:lineRule="auto"/>
        <w:rPr>
          <w:rFonts w:ascii="Lato" w:eastAsia="Times New Roman" w:hAnsi="Lato" w:cs="Times New Roman"/>
          <w:kern w:val="0"/>
          <w:lang w:eastAsia="en-GB"/>
          <w14:ligatures w14:val="none"/>
        </w:rPr>
      </w:pPr>
      <w:r w:rsidRPr="00FB2A04">
        <w:rPr>
          <w:rFonts w:ascii="Lato" w:eastAsia="Times New Roman" w:hAnsi="Lato" w:cs="Times New Roman"/>
          <w:kern w:val="0"/>
          <w:lang w:eastAsia="en-GB"/>
          <w14:ligatures w14:val="none"/>
        </w:rPr>
        <w:t xml:space="preserve">The ‘My Live Well </w:t>
      </w:r>
      <w:proofErr w:type="gramStart"/>
      <w:r w:rsidRPr="00FB2A04">
        <w:rPr>
          <w:rFonts w:ascii="Lato" w:eastAsia="Times New Roman" w:hAnsi="Lato" w:cs="Times New Roman"/>
          <w:kern w:val="0"/>
          <w:lang w:eastAsia="en-GB"/>
          <w14:ligatures w14:val="none"/>
        </w:rPr>
        <w:t>With</w:t>
      </w:r>
      <w:proofErr w:type="gramEnd"/>
      <w:r w:rsidRPr="00FB2A04">
        <w:rPr>
          <w:rFonts w:ascii="Lato" w:eastAsia="Times New Roman" w:hAnsi="Lato" w:cs="Times New Roman"/>
          <w:kern w:val="0"/>
          <w:lang w:eastAsia="en-GB"/>
          <w14:ligatures w14:val="none"/>
        </w:rPr>
        <w:t xml:space="preserve"> Pain’ website </w:t>
      </w:r>
      <w:r w:rsidR="00224C6D" w:rsidRPr="00963819">
        <w:rPr>
          <w:rFonts w:ascii="Lato" w:eastAsia="Times New Roman" w:hAnsi="Lato" w:cs="Times New Roman"/>
          <w:kern w:val="0"/>
          <w:lang w:eastAsia="en-GB"/>
          <w14:ligatures w14:val="none"/>
        </w:rPr>
        <w:t>(</w:t>
      </w:r>
      <w:hyperlink r:id="rId12" w:history="1">
        <w:r w:rsidR="00224C6D" w:rsidRPr="00963819">
          <w:rPr>
            <w:rStyle w:val="Hyperlink"/>
            <w:rFonts w:ascii="Lato" w:hAnsi="Lato"/>
          </w:rPr>
          <w:t>Home - Live Well with Pain</w:t>
        </w:r>
      </w:hyperlink>
      <w:r w:rsidRPr="00FB2A04">
        <w:rPr>
          <w:rFonts w:ascii="Lato" w:eastAsia="Times New Roman" w:hAnsi="Lato" w:cs="Times New Roman"/>
          <w:kern w:val="0"/>
          <w:lang w:eastAsia="en-GB"/>
          <w14:ligatures w14:val="none"/>
        </w:rPr>
        <w:t>) has a range of useful resources to help you learn the skills you need to become an effective self-manager of your pain. If you have any concerns or would like to discuss your conditions/medications, please do speak to your usual doctor or our pharmacist.</w:t>
      </w:r>
    </w:p>
    <w:p w14:paraId="3EAD7D40" w14:textId="77777777" w:rsidR="00BE4DDC" w:rsidRPr="00963819" w:rsidRDefault="00BE4DDC">
      <w:pPr>
        <w:rPr>
          <w:rFonts w:ascii="Lato" w:hAnsi="Lato"/>
        </w:rPr>
      </w:pPr>
    </w:p>
    <w:p w14:paraId="1AC83B0C" w14:textId="07CE9DFE" w:rsidR="00CA578F" w:rsidRPr="00F63794" w:rsidRDefault="007C1EBF" w:rsidP="007C1EBF">
      <w:pPr>
        <w:pStyle w:val="DrugPolicyheaders"/>
      </w:pPr>
      <w:bookmarkStart w:id="7" w:name="_Toc182314740"/>
      <w:r w:rsidRPr="00F63794">
        <w:t>REFERENCES:</w:t>
      </w:r>
      <w:bookmarkEnd w:id="7"/>
      <w:r w:rsidRPr="00F63794">
        <w:t xml:space="preserve"> </w:t>
      </w:r>
    </w:p>
    <w:p w14:paraId="368B734E" w14:textId="77777777" w:rsidR="00CA578F" w:rsidRDefault="00CA578F"/>
    <w:p w14:paraId="27CD6BD6" w14:textId="317C74A7" w:rsidR="00CA578F" w:rsidRDefault="0076792A">
      <w:hyperlink r:id="rId13" w:history="1">
        <w:r w:rsidR="00BE4DDC">
          <w:rPr>
            <w:rStyle w:val="Hyperlink"/>
          </w:rPr>
          <w:t>Opioids: risk of dependence and addiction - GOV.UK (www.gov.uk)</w:t>
        </w:r>
      </w:hyperlink>
      <w:r w:rsidR="00BE4DDC">
        <w:t xml:space="preserve"> (accessed 2/7/2024) </w:t>
      </w:r>
    </w:p>
    <w:p w14:paraId="5C3F0646" w14:textId="2506D84B" w:rsidR="00BE4DDC" w:rsidRDefault="0076792A">
      <w:hyperlink r:id="rId14" w:history="1">
        <w:r w:rsidR="00BE4DDC">
          <w:rPr>
            <w:rStyle w:val="Hyperlink"/>
          </w:rPr>
          <w:t xml:space="preserve">NHS England — </w:t>
        </w:r>
        <w:proofErr w:type="gramStart"/>
        <w:r w:rsidR="00BE4DDC">
          <w:rPr>
            <w:rStyle w:val="Hyperlink"/>
          </w:rPr>
          <w:t>South West</w:t>
        </w:r>
        <w:proofErr w:type="gramEnd"/>
        <w:r w:rsidR="00BE4DDC">
          <w:rPr>
            <w:rStyle w:val="Hyperlink"/>
          </w:rPr>
          <w:t xml:space="preserve"> » Opioid prescribing for chronic pain</w:t>
        </w:r>
      </w:hyperlink>
      <w:r w:rsidR="00BE4DDC">
        <w:t xml:space="preserve"> (Accessed 2/7/2024) </w:t>
      </w:r>
    </w:p>
    <w:p w14:paraId="6C935AA4" w14:textId="6959410A" w:rsidR="00BE4DDC" w:rsidRDefault="0076792A">
      <w:hyperlink r:id="rId15" w:history="1">
        <w:r w:rsidR="00BE4DDC">
          <w:rPr>
            <w:rStyle w:val="Hyperlink"/>
          </w:rPr>
          <w:t>Overview | Chronic pain (primary and secondary) in over 16s: assessment of all chronic pain and management of chronic primary pain | Guidance | NICE</w:t>
        </w:r>
      </w:hyperlink>
      <w:r w:rsidR="00E308FD">
        <w:t xml:space="preserve"> (accessed 2/7/2024) </w:t>
      </w:r>
    </w:p>
    <w:p w14:paraId="6D2A1DB2" w14:textId="16921D00" w:rsidR="00224C6D" w:rsidRDefault="0076792A">
      <w:hyperlink r:id="rId16" w:history="1">
        <w:r w:rsidR="00224C6D">
          <w:rPr>
            <w:rStyle w:val="Hyperlink"/>
          </w:rPr>
          <w:t>Home - Live Well with Pain</w:t>
        </w:r>
      </w:hyperlink>
      <w:r w:rsidR="00224C6D">
        <w:t xml:space="preserve"> (accessed 2/7/2024) </w:t>
      </w:r>
    </w:p>
    <w:p w14:paraId="584EDF4B" w14:textId="3F265E28" w:rsidR="003F6624" w:rsidRDefault="0076792A">
      <w:hyperlink r:id="rId17" w:history="1">
        <w:r w:rsidR="003F6624">
          <w:rPr>
            <w:rStyle w:val="Hyperlink"/>
          </w:rPr>
          <w:t>Benzodiazepines and opioids: reminder of risk of potentially fatal respiratory depression - GOV.UK (www.gov.uk)</w:t>
        </w:r>
      </w:hyperlink>
      <w:r w:rsidR="003F6624">
        <w:t xml:space="preserve"> (accessed 2/7/2024) </w:t>
      </w:r>
    </w:p>
    <w:p w14:paraId="75D6C102" w14:textId="77777777" w:rsidR="007C1EBF" w:rsidRDefault="007C1EBF"/>
    <w:p w14:paraId="797BC060" w14:textId="77777777" w:rsidR="007C1EBF" w:rsidRDefault="007C1EBF"/>
    <w:p w14:paraId="0151429A" w14:textId="77777777" w:rsidR="007C1EBF" w:rsidRDefault="007C1EBF"/>
    <w:p w14:paraId="18C73276" w14:textId="5504C408" w:rsidR="007C1EBF" w:rsidRDefault="007C1EBF" w:rsidP="007C1EBF">
      <w:pPr>
        <w:pStyle w:val="DrugPolicyheaders"/>
      </w:pPr>
      <w:bookmarkStart w:id="8" w:name="_Toc182314741"/>
      <w:r w:rsidRPr="007C1EBF">
        <w:t>APPENDIX A</w:t>
      </w:r>
      <w:bookmarkEnd w:id="8"/>
    </w:p>
    <w:p w14:paraId="17D2054C" w14:textId="77777777" w:rsidR="007C1EBF" w:rsidRDefault="007C1EBF">
      <w:pPr>
        <w:rPr>
          <w:b/>
          <w:bCs/>
        </w:rPr>
      </w:pPr>
      <w:r>
        <w:rPr>
          <w:b/>
          <w:bCs/>
        </w:rPr>
        <w:t>See following page</w:t>
      </w:r>
    </w:p>
    <w:p w14:paraId="4D222984" w14:textId="11F24F1F" w:rsidR="007C1EBF" w:rsidRPr="007C1EBF" w:rsidRDefault="007C1EBF">
      <w:pPr>
        <w:rPr>
          <w:b/>
          <w:bCs/>
        </w:rPr>
      </w:pPr>
      <w:r w:rsidRPr="007C1EBF">
        <w:rPr>
          <w:b/>
          <w:bCs/>
        </w:rPr>
        <w:br w:type="page"/>
      </w:r>
    </w:p>
    <w:p w14:paraId="51F65666" w14:textId="601E496A" w:rsidR="007C1EBF" w:rsidRPr="007C1EBF" w:rsidRDefault="007C1EBF" w:rsidP="007C1EBF">
      <w:pPr>
        <w:pStyle w:val="DrugPolicyheaders"/>
      </w:pPr>
      <w:bookmarkStart w:id="9" w:name="LostDrugsForm"/>
      <w:bookmarkStart w:id="10" w:name="_Toc182314742"/>
      <w:r w:rsidRPr="007C1EBF">
        <w:lastRenderedPageBreak/>
        <w:t>NOTIFICATION</w:t>
      </w:r>
      <w:r w:rsidRPr="007C1EBF">
        <w:rPr>
          <w:spacing w:val="-7"/>
        </w:rPr>
        <w:t xml:space="preserve"> </w:t>
      </w:r>
      <w:r w:rsidRPr="007C1EBF">
        <w:t>OF</w:t>
      </w:r>
      <w:r w:rsidRPr="007C1EBF">
        <w:rPr>
          <w:spacing w:val="-4"/>
        </w:rPr>
        <w:t xml:space="preserve"> </w:t>
      </w:r>
      <w:r w:rsidRPr="007C1EBF">
        <w:t>THEFT/UNACCOUNTED</w:t>
      </w:r>
      <w:r w:rsidRPr="007C1EBF">
        <w:rPr>
          <w:spacing w:val="-3"/>
        </w:rPr>
        <w:t xml:space="preserve"> </w:t>
      </w:r>
      <w:r w:rsidRPr="007C1EBF">
        <w:t>LOSS</w:t>
      </w:r>
      <w:r w:rsidRPr="007C1EBF">
        <w:rPr>
          <w:spacing w:val="-6"/>
        </w:rPr>
        <w:t xml:space="preserve"> </w:t>
      </w:r>
      <w:r w:rsidRPr="007C1EBF">
        <w:t>OF</w:t>
      </w:r>
      <w:r w:rsidR="0099141B">
        <w:t xml:space="preserve"> </w:t>
      </w:r>
      <w:r w:rsidRPr="007C1EBF">
        <w:rPr>
          <w:spacing w:val="-2"/>
        </w:rPr>
        <w:t>DRUGS</w:t>
      </w:r>
      <w:bookmarkEnd w:id="10"/>
      <w:r w:rsidR="001918FD">
        <w:rPr>
          <w:spacing w:val="-2"/>
        </w:rPr>
        <w:fldChar w:fldCharType="begin"/>
      </w:r>
      <w:r w:rsidR="001918FD">
        <w:instrText xml:space="preserve"> XE "</w:instrText>
      </w:r>
      <w:r w:rsidR="001918FD" w:rsidRPr="004448BB">
        <w:instrText>NOTIFICATION</w:instrText>
      </w:r>
      <w:r w:rsidR="001918FD" w:rsidRPr="004448BB">
        <w:rPr>
          <w:spacing w:val="-7"/>
        </w:rPr>
        <w:instrText xml:space="preserve"> </w:instrText>
      </w:r>
      <w:r w:rsidR="001918FD" w:rsidRPr="004448BB">
        <w:instrText>OF</w:instrText>
      </w:r>
      <w:r w:rsidR="001918FD" w:rsidRPr="004448BB">
        <w:rPr>
          <w:spacing w:val="-4"/>
        </w:rPr>
        <w:instrText xml:space="preserve"> </w:instrText>
      </w:r>
      <w:r w:rsidR="001918FD" w:rsidRPr="004448BB">
        <w:instrText>THEFT/UNACCOUNTED</w:instrText>
      </w:r>
      <w:r w:rsidR="001918FD" w:rsidRPr="004448BB">
        <w:rPr>
          <w:spacing w:val="-3"/>
        </w:rPr>
        <w:instrText xml:space="preserve"> </w:instrText>
      </w:r>
      <w:r w:rsidR="001918FD" w:rsidRPr="004448BB">
        <w:instrText>LOSS</w:instrText>
      </w:r>
      <w:r w:rsidR="001918FD" w:rsidRPr="004448BB">
        <w:rPr>
          <w:spacing w:val="-6"/>
        </w:rPr>
        <w:instrText xml:space="preserve"> </w:instrText>
      </w:r>
      <w:r w:rsidR="001918FD" w:rsidRPr="004448BB">
        <w:instrText>OF</w:instrText>
      </w:r>
      <w:r w:rsidR="001918FD" w:rsidRPr="004448BB">
        <w:rPr>
          <w:spacing w:val="-4"/>
        </w:rPr>
        <w:instrText xml:space="preserve"> </w:instrText>
      </w:r>
      <w:r w:rsidR="001918FD" w:rsidRPr="004448BB">
        <w:instrText>CONTROLLED</w:instrText>
      </w:r>
      <w:r w:rsidR="001918FD" w:rsidRPr="004448BB">
        <w:rPr>
          <w:spacing w:val="-4"/>
        </w:rPr>
        <w:instrText xml:space="preserve"> </w:instrText>
      </w:r>
      <w:r w:rsidR="001918FD" w:rsidRPr="004448BB">
        <w:rPr>
          <w:spacing w:val="-2"/>
        </w:rPr>
        <w:instrText>DRUGS</w:instrText>
      </w:r>
      <w:r w:rsidR="001918FD">
        <w:instrText xml:space="preserve">" </w:instrText>
      </w:r>
      <w:r w:rsidR="001918FD">
        <w:rPr>
          <w:spacing w:val="-2"/>
        </w:rPr>
        <w:fldChar w:fldCharType="end"/>
      </w:r>
    </w:p>
    <w:bookmarkEnd w:id="9"/>
    <w:p w14:paraId="03554320" w14:textId="77777777" w:rsidR="007C1EBF" w:rsidRDefault="007C1EBF" w:rsidP="007C1EBF">
      <w:pPr>
        <w:pStyle w:val="BodyText"/>
        <w:ind w:left="116" w:right="86"/>
      </w:pPr>
      <w:r w:rsidRPr="007C1EBF">
        <w:t>Please complete</w:t>
      </w:r>
      <w:r w:rsidRPr="007C1EBF">
        <w:rPr>
          <w:spacing w:val="-1"/>
        </w:rPr>
        <w:t xml:space="preserve"> </w:t>
      </w:r>
      <w:r w:rsidRPr="007C1EBF">
        <w:t>the below form. Loss of controlled drugs is a significant clinical event. These drugs are</w:t>
      </w:r>
      <w:r w:rsidRPr="007C1EBF">
        <w:rPr>
          <w:spacing w:val="-4"/>
        </w:rPr>
        <w:t xml:space="preserve"> </w:t>
      </w:r>
      <w:r w:rsidRPr="007C1EBF">
        <w:t>potentially</w:t>
      </w:r>
      <w:r w:rsidRPr="007C1EBF">
        <w:rPr>
          <w:spacing w:val="-2"/>
        </w:rPr>
        <w:t xml:space="preserve"> </w:t>
      </w:r>
      <w:r w:rsidRPr="007C1EBF">
        <w:t>addictive</w:t>
      </w:r>
      <w:r w:rsidRPr="007C1EBF">
        <w:rPr>
          <w:spacing w:val="-2"/>
        </w:rPr>
        <w:t xml:space="preserve"> </w:t>
      </w:r>
      <w:r w:rsidRPr="007C1EBF">
        <w:t>in</w:t>
      </w:r>
      <w:r w:rsidRPr="007C1EBF">
        <w:rPr>
          <w:spacing w:val="-2"/>
        </w:rPr>
        <w:t xml:space="preserve"> </w:t>
      </w:r>
      <w:r w:rsidRPr="007C1EBF">
        <w:t>nature</w:t>
      </w:r>
      <w:r w:rsidRPr="007C1EBF">
        <w:rPr>
          <w:spacing w:val="-4"/>
        </w:rPr>
        <w:t xml:space="preserve"> </w:t>
      </w:r>
      <w:r w:rsidRPr="007C1EBF">
        <w:t>and</w:t>
      </w:r>
      <w:r w:rsidRPr="007C1EBF">
        <w:rPr>
          <w:spacing w:val="-4"/>
        </w:rPr>
        <w:t xml:space="preserve"> </w:t>
      </w:r>
      <w:r w:rsidRPr="007C1EBF">
        <w:t>are</w:t>
      </w:r>
      <w:r w:rsidRPr="007C1EBF">
        <w:rPr>
          <w:spacing w:val="-1"/>
        </w:rPr>
        <w:t xml:space="preserve"> </w:t>
      </w:r>
      <w:r w:rsidRPr="007C1EBF">
        <w:t>open</w:t>
      </w:r>
      <w:r w:rsidRPr="007C1EBF">
        <w:rPr>
          <w:spacing w:val="-2"/>
        </w:rPr>
        <w:t xml:space="preserve"> </w:t>
      </w:r>
      <w:r w:rsidRPr="007C1EBF">
        <w:t>to</w:t>
      </w:r>
      <w:r w:rsidRPr="007C1EBF">
        <w:rPr>
          <w:spacing w:val="-6"/>
        </w:rPr>
        <w:t xml:space="preserve"> </w:t>
      </w:r>
      <w:r w:rsidRPr="007C1EBF">
        <w:t>abuse.</w:t>
      </w:r>
      <w:r w:rsidRPr="007C1EBF">
        <w:rPr>
          <w:spacing w:val="-4"/>
        </w:rPr>
        <w:t xml:space="preserve"> </w:t>
      </w:r>
      <w:r w:rsidRPr="007C1EBF">
        <w:t>Loss</w:t>
      </w:r>
      <w:r w:rsidRPr="007C1EBF">
        <w:rPr>
          <w:spacing w:val="-4"/>
        </w:rPr>
        <w:t xml:space="preserve"> </w:t>
      </w:r>
      <w:r w:rsidRPr="007C1EBF">
        <w:t>in</w:t>
      </w:r>
      <w:r w:rsidRPr="007C1EBF">
        <w:rPr>
          <w:spacing w:val="-2"/>
        </w:rPr>
        <w:t xml:space="preserve"> </w:t>
      </w:r>
      <w:r w:rsidRPr="007C1EBF">
        <w:t>a</w:t>
      </w:r>
      <w:r w:rsidRPr="007C1EBF">
        <w:rPr>
          <w:spacing w:val="-5"/>
        </w:rPr>
        <w:t xml:space="preserve"> </w:t>
      </w:r>
      <w:r w:rsidRPr="007C1EBF">
        <w:t>public place</w:t>
      </w:r>
      <w:r w:rsidRPr="007C1EBF">
        <w:rPr>
          <w:spacing w:val="-1"/>
        </w:rPr>
        <w:t xml:space="preserve"> </w:t>
      </w:r>
      <w:r w:rsidRPr="007C1EBF">
        <w:t>may</w:t>
      </w:r>
      <w:r w:rsidRPr="007C1EBF">
        <w:rPr>
          <w:spacing w:val="-2"/>
        </w:rPr>
        <w:t xml:space="preserve"> </w:t>
      </w:r>
      <w:r w:rsidRPr="007C1EBF">
        <w:t>put other people at risk (especially children). It is important that you complete</w:t>
      </w:r>
      <w:r w:rsidRPr="007C1EBF">
        <w:rPr>
          <w:spacing w:val="-2"/>
        </w:rPr>
        <w:t xml:space="preserve"> </w:t>
      </w:r>
      <w:r w:rsidRPr="007C1EBF">
        <w:t>this form as fully as possible. This will help us ensure that risk to other members of the public is limited and will help us to ensure that we are aware of persons who may need further help and supervision.</w:t>
      </w:r>
    </w:p>
    <w:p w14:paraId="32268E8B" w14:textId="77777777" w:rsidR="007C1EBF" w:rsidRPr="007C1EBF" w:rsidRDefault="007C1EBF" w:rsidP="007C1EBF">
      <w:pPr>
        <w:pStyle w:val="BodyText"/>
        <w:ind w:left="116" w:right="86"/>
      </w:pPr>
    </w:p>
    <w:tbl>
      <w:tblPr>
        <w:tblW w:w="9606"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6"/>
        <w:gridCol w:w="4670"/>
      </w:tblGrid>
      <w:tr w:rsidR="007C1EBF" w:rsidRPr="007C1EBF" w14:paraId="0B111E89" w14:textId="77777777" w:rsidTr="001C6C93">
        <w:trPr>
          <w:trHeight w:val="1413"/>
        </w:trPr>
        <w:tc>
          <w:tcPr>
            <w:tcW w:w="4936" w:type="dxa"/>
          </w:tcPr>
          <w:p w14:paraId="17D967AC" w14:textId="77777777" w:rsidR="007C1EBF" w:rsidRPr="007C1EBF" w:rsidRDefault="007C1EBF" w:rsidP="001C6C93">
            <w:pPr>
              <w:pStyle w:val="TableParagraph"/>
              <w:rPr>
                <w:b/>
                <w:spacing w:val="-2"/>
              </w:rPr>
            </w:pPr>
            <w:r w:rsidRPr="007C1EBF">
              <w:rPr>
                <w:b/>
              </w:rPr>
              <w:t>Patient</w:t>
            </w:r>
            <w:r w:rsidRPr="007C1EBF">
              <w:rPr>
                <w:b/>
                <w:spacing w:val="-3"/>
              </w:rPr>
              <w:t xml:space="preserve"> </w:t>
            </w:r>
            <w:r w:rsidRPr="007C1EBF">
              <w:rPr>
                <w:b/>
              </w:rPr>
              <w:t>name</w:t>
            </w:r>
            <w:r w:rsidRPr="007C1EBF">
              <w:rPr>
                <w:b/>
                <w:spacing w:val="-2"/>
              </w:rPr>
              <w:t xml:space="preserve"> </w:t>
            </w:r>
            <w:r w:rsidRPr="007C1EBF">
              <w:rPr>
                <w:b/>
              </w:rPr>
              <w:t>and</w:t>
            </w:r>
            <w:r w:rsidRPr="007C1EBF">
              <w:rPr>
                <w:b/>
                <w:spacing w:val="-2"/>
              </w:rPr>
              <w:t xml:space="preserve"> address.</w:t>
            </w:r>
          </w:p>
          <w:p w14:paraId="0A6AF500" w14:textId="77777777" w:rsidR="007C1EBF" w:rsidRPr="007C1EBF" w:rsidRDefault="007C1EBF" w:rsidP="001C6C93">
            <w:pPr>
              <w:pStyle w:val="TableParagraph"/>
              <w:ind w:right="729"/>
              <w:rPr>
                <w:sz w:val="24"/>
              </w:rPr>
            </w:pPr>
            <w:r w:rsidRPr="007C1EBF">
              <w:rPr>
                <w:sz w:val="24"/>
              </w:rPr>
              <w:t>Full name (</w:t>
            </w:r>
            <w:proofErr w:type="spellStart"/>
            <w:r w:rsidRPr="007C1EBF">
              <w:rPr>
                <w:sz w:val="24"/>
              </w:rPr>
              <w:t>inc</w:t>
            </w:r>
            <w:proofErr w:type="spellEnd"/>
            <w:r w:rsidRPr="007C1EBF">
              <w:rPr>
                <w:sz w:val="24"/>
              </w:rPr>
              <w:t xml:space="preserve"> Middle)</w:t>
            </w:r>
          </w:p>
          <w:p w14:paraId="4445A75D" w14:textId="77777777" w:rsidR="007C1EBF" w:rsidRPr="007C1EBF" w:rsidRDefault="007C1EBF" w:rsidP="001C6C93">
            <w:pPr>
              <w:pStyle w:val="TableParagraph"/>
              <w:ind w:right="729"/>
              <w:rPr>
                <w:sz w:val="24"/>
              </w:rPr>
            </w:pPr>
            <w:r w:rsidRPr="007C1EBF">
              <w:rPr>
                <w:sz w:val="24"/>
              </w:rPr>
              <w:t xml:space="preserve">Home Address </w:t>
            </w:r>
          </w:p>
          <w:p w14:paraId="3F3274A0" w14:textId="77777777" w:rsidR="007C1EBF" w:rsidRPr="007C1EBF" w:rsidRDefault="007C1EBF" w:rsidP="001C6C93">
            <w:pPr>
              <w:pStyle w:val="TableParagraph"/>
              <w:rPr>
                <w:b/>
              </w:rPr>
            </w:pPr>
          </w:p>
        </w:tc>
        <w:tc>
          <w:tcPr>
            <w:tcW w:w="4670" w:type="dxa"/>
          </w:tcPr>
          <w:p w14:paraId="0DB0EFCD" w14:textId="77777777" w:rsidR="007C1EBF" w:rsidRPr="007C1EBF" w:rsidRDefault="007C1EBF" w:rsidP="001C6C93">
            <w:pPr>
              <w:pStyle w:val="TableParagraph"/>
              <w:ind w:right="729"/>
              <w:rPr>
                <w:sz w:val="24"/>
              </w:rPr>
            </w:pPr>
          </w:p>
          <w:p w14:paraId="1D2682BA" w14:textId="77777777" w:rsidR="007C1EBF" w:rsidRPr="007C1EBF" w:rsidRDefault="007C1EBF" w:rsidP="001C6C93">
            <w:pPr>
              <w:pStyle w:val="TableParagraph"/>
              <w:ind w:right="729"/>
              <w:rPr>
                <w:sz w:val="24"/>
              </w:rPr>
            </w:pPr>
          </w:p>
          <w:p w14:paraId="6971E552" w14:textId="77777777" w:rsidR="007C1EBF" w:rsidRPr="007C1EBF" w:rsidRDefault="007C1EBF" w:rsidP="001C6C93">
            <w:pPr>
              <w:pStyle w:val="TableParagraph"/>
              <w:ind w:right="729"/>
              <w:rPr>
                <w:sz w:val="24"/>
              </w:rPr>
            </w:pPr>
          </w:p>
          <w:p w14:paraId="51776D21" w14:textId="77777777" w:rsidR="007C1EBF" w:rsidRPr="007C1EBF" w:rsidRDefault="007C1EBF" w:rsidP="001C6C93">
            <w:pPr>
              <w:pStyle w:val="TableParagraph"/>
              <w:ind w:right="729"/>
              <w:rPr>
                <w:sz w:val="24"/>
              </w:rPr>
            </w:pPr>
          </w:p>
          <w:p w14:paraId="6DA26BDE" w14:textId="77777777" w:rsidR="007C1EBF" w:rsidRPr="007C1EBF" w:rsidRDefault="007C1EBF" w:rsidP="001C6C93">
            <w:pPr>
              <w:pStyle w:val="TableParagraph"/>
              <w:ind w:right="729"/>
              <w:rPr>
                <w:sz w:val="24"/>
              </w:rPr>
            </w:pPr>
          </w:p>
        </w:tc>
      </w:tr>
      <w:tr w:rsidR="007C1EBF" w:rsidRPr="007C1EBF" w14:paraId="4C090076" w14:textId="77777777" w:rsidTr="001C6C93">
        <w:trPr>
          <w:trHeight w:val="472"/>
        </w:trPr>
        <w:tc>
          <w:tcPr>
            <w:tcW w:w="4936" w:type="dxa"/>
          </w:tcPr>
          <w:p w14:paraId="2ACD1D0D" w14:textId="77777777" w:rsidR="007C1EBF" w:rsidRPr="007C1EBF" w:rsidRDefault="007C1EBF" w:rsidP="001C6C93">
            <w:pPr>
              <w:pStyle w:val="TableParagraph"/>
              <w:rPr>
                <w:b/>
              </w:rPr>
            </w:pPr>
            <w:r w:rsidRPr="007C1EBF">
              <w:rPr>
                <w:b/>
              </w:rPr>
              <w:t>Date</w:t>
            </w:r>
            <w:r w:rsidRPr="007C1EBF">
              <w:rPr>
                <w:b/>
                <w:spacing w:val="-6"/>
              </w:rPr>
              <w:t xml:space="preserve"> </w:t>
            </w:r>
            <w:r w:rsidRPr="007C1EBF">
              <w:rPr>
                <w:b/>
              </w:rPr>
              <w:t>that</w:t>
            </w:r>
            <w:r w:rsidRPr="007C1EBF">
              <w:rPr>
                <w:b/>
                <w:spacing w:val="-2"/>
              </w:rPr>
              <w:t xml:space="preserve"> </w:t>
            </w:r>
            <w:r w:rsidRPr="007C1EBF">
              <w:rPr>
                <w:b/>
              </w:rPr>
              <w:t>the</w:t>
            </w:r>
            <w:r w:rsidRPr="007C1EBF">
              <w:rPr>
                <w:b/>
                <w:spacing w:val="-4"/>
              </w:rPr>
              <w:t xml:space="preserve"> </w:t>
            </w:r>
            <w:r w:rsidRPr="007C1EBF">
              <w:rPr>
                <w:b/>
              </w:rPr>
              <w:t>Theft/</w:t>
            </w:r>
            <w:r w:rsidRPr="007C1EBF">
              <w:rPr>
                <w:b/>
                <w:spacing w:val="-2"/>
              </w:rPr>
              <w:t xml:space="preserve"> </w:t>
            </w:r>
            <w:r w:rsidRPr="007C1EBF">
              <w:rPr>
                <w:b/>
              </w:rPr>
              <w:t>Loss</w:t>
            </w:r>
            <w:r w:rsidRPr="007C1EBF">
              <w:rPr>
                <w:b/>
                <w:spacing w:val="-1"/>
              </w:rPr>
              <w:t xml:space="preserve"> </w:t>
            </w:r>
            <w:r w:rsidRPr="007C1EBF">
              <w:rPr>
                <w:b/>
                <w:spacing w:val="-2"/>
              </w:rPr>
              <w:t>occurred</w:t>
            </w:r>
          </w:p>
        </w:tc>
        <w:tc>
          <w:tcPr>
            <w:tcW w:w="4670" w:type="dxa"/>
          </w:tcPr>
          <w:p w14:paraId="19E046CE" w14:textId="77777777" w:rsidR="007C1EBF" w:rsidRPr="007C1EBF" w:rsidRDefault="007C1EBF" w:rsidP="001C6C93">
            <w:pPr>
              <w:pStyle w:val="TableParagraph"/>
              <w:ind w:left="0"/>
              <w:rPr>
                <w:rFonts w:ascii="Times New Roman"/>
              </w:rPr>
            </w:pPr>
          </w:p>
        </w:tc>
      </w:tr>
      <w:tr w:rsidR="007C1EBF" w:rsidRPr="007C1EBF" w14:paraId="120F6EC0" w14:textId="77777777" w:rsidTr="001C6C93">
        <w:trPr>
          <w:trHeight w:val="1037"/>
        </w:trPr>
        <w:tc>
          <w:tcPr>
            <w:tcW w:w="4936" w:type="dxa"/>
          </w:tcPr>
          <w:p w14:paraId="10638E7B" w14:textId="77777777" w:rsidR="007C1EBF" w:rsidRPr="007C1EBF" w:rsidRDefault="007C1EBF" w:rsidP="001C6C93">
            <w:pPr>
              <w:pStyle w:val="TableParagraph"/>
              <w:spacing w:before="2"/>
              <w:rPr>
                <w:b/>
              </w:rPr>
            </w:pPr>
            <w:r w:rsidRPr="007C1EBF">
              <w:rPr>
                <w:b/>
              </w:rPr>
              <w:t>Has</w:t>
            </w:r>
            <w:r w:rsidRPr="007C1EBF">
              <w:rPr>
                <w:b/>
                <w:spacing w:val="-3"/>
              </w:rPr>
              <w:t xml:space="preserve"> </w:t>
            </w:r>
            <w:r w:rsidRPr="007C1EBF">
              <w:rPr>
                <w:b/>
              </w:rPr>
              <w:t>there</w:t>
            </w:r>
            <w:r w:rsidRPr="007C1EBF">
              <w:rPr>
                <w:b/>
                <w:spacing w:val="-6"/>
              </w:rPr>
              <w:t xml:space="preserve"> </w:t>
            </w:r>
            <w:r w:rsidRPr="007C1EBF">
              <w:rPr>
                <w:b/>
              </w:rPr>
              <w:t>been</w:t>
            </w:r>
            <w:r w:rsidRPr="007C1EBF">
              <w:rPr>
                <w:b/>
                <w:spacing w:val="-4"/>
              </w:rPr>
              <w:t xml:space="preserve"> </w:t>
            </w:r>
            <w:r w:rsidRPr="007C1EBF">
              <w:rPr>
                <w:b/>
              </w:rPr>
              <w:t>a</w:t>
            </w:r>
            <w:r w:rsidRPr="007C1EBF">
              <w:rPr>
                <w:b/>
                <w:spacing w:val="-6"/>
              </w:rPr>
              <w:t xml:space="preserve"> </w:t>
            </w:r>
            <w:r w:rsidRPr="007C1EBF">
              <w:rPr>
                <w:b/>
              </w:rPr>
              <w:t>delay</w:t>
            </w:r>
            <w:r w:rsidRPr="007C1EBF">
              <w:rPr>
                <w:b/>
                <w:spacing w:val="-7"/>
              </w:rPr>
              <w:t xml:space="preserve"> </w:t>
            </w:r>
            <w:r w:rsidRPr="007C1EBF">
              <w:rPr>
                <w:b/>
              </w:rPr>
              <w:t>in</w:t>
            </w:r>
            <w:r w:rsidRPr="007C1EBF">
              <w:rPr>
                <w:b/>
                <w:spacing w:val="-4"/>
              </w:rPr>
              <w:t xml:space="preserve"> </w:t>
            </w:r>
            <w:r w:rsidRPr="007C1EBF">
              <w:rPr>
                <w:b/>
              </w:rPr>
              <w:t>reporting</w:t>
            </w:r>
            <w:r w:rsidRPr="007C1EBF">
              <w:rPr>
                <w:b/>
                <w:spacing w:val="-6"/>
              </w:rPr>
              <w:t xml:space="preserve"> </w:t>
            </w:r>
            <w:r w:rsidRPr="007C1EBF">
              <w:rPr>
                <w:b/>
              </w:rPr>
              <w:t xml:space="preserve">the </w:t>
            </w:r>
            <w:r w:rsidRPr="007C1EBF">
              <w:rPr>
                <w:b/>
                <w:spacing w:val="-2"/>
              </w:rPr>
              <w:t>Theft/Loss?</w:t>
            </w:r>
          </w:p>
          <w:p w14:paraId="565DAF77" w14:textId="77777777" w:rsidR="007C1EBF" w:rsidRPr="007C1EBF" w:rsidRDefault="007C1EBF" w:rsidP="001C6C93">
            <w:pPr>
              <w:pStyle w:val="TableParagraph"/>
              <w:spacing w:before="252" w:line="232" w:lineRule="exact"/>
              <w:rPr>
                <w:b/>
              </w:rPr>
            </w:pPr>
            <w:r w:rsidRPr="007C1EBF">
              <w:rPr>
                <w:b/>
              </w:rPr>
              <w:t>If</w:t>
            </w:r>
            <w:r w:rsidRPr="007C1EBF">
              <w:rPr>
                <w:b/>
                <w:spacing w:val="-2"/>
              </w:rPr>
              <w:t xml:space="preserve"> </w:t>
            </w:r>
            <w:proofErr w:type="gramStart"/>
            <w:r w:rsidRPr="007C1EBF">
              <w:rPr>
                <w:b/>
              </w:rPr>
              <w:t>so</w:t>
            </w:r>
            <w:proofErr w:type="gramEnd"/>
            <w:r w:rsidRPr="007C1EBF">
              <w:rPr>
                <w:b/>
                <w:spacing w:val="-1"/>
              </w:rPr>
              <w:t xml:space="preserve"> </w:t>
            </w:r>
            <w:r w:rsidRPr="007C1EBF">
              <w:rPr>
                <w:b/>
              </w:rPr>
              <w:t>please state</w:t>
            </w:r>
            <w:r w:rsidRPr="007C1EBF">
              <w:rPr>
                <w:b/>
                <w:spacing w:val="-2"/>
              </w:rPr>
              <w:t xml:space="preserve"> </w:t>
            </w:r>
            <w:r w:rsidRPr="007C1EBF">
              <w:rPr>
                <w:b/>
              </w:rPr>
              <w:t>the</w:t>
            </w:r>
            <w:r w:rsidRPr="007C1EBF">
              <w:rPr>
                <w:b/>
                <w:spacing w:val="-5"/>
              </w:rPr>
              <w:t xml:space="preserve"> </w:t>
            </w:r>
            <w:r w:rsidRPr="007C1EBF">
              <w:rPr>
                <w:b/>
              </w:rPr>
              <w:t>reason</w:t>
            </w:r>
            <w:r w:rsidRPr="007C1EBF">
              <w:rPr>
                <w:b/>
                <w:spacing w:val="-1"/>
              </w:rPr>
              <w:t xml:space="preserve"> </w:t>
            </w:r>
            <w:r w:rsidRPr="007C1EBF">
              <w:rPr>
                <w:b/>
              </w:rPr>
              <w:t>for</w:t>
            </w:r>
            <w:r w:rsidRPr="007C1EBF">
              <w:rPr>
                <w:b/>
                <w:spacing w:val="-3"/>
              </w:rPr>
              <w:t xml:space="preserve"> </w:t>
            </w:r>
            <w:r w:rsidRPr="007C1EBF">
              <w:rPr>
                <w:b/>
              </w:rPr>
              <w:t>the</w:t>
            </w:r>
            <w:r w:rsidRPr="007C1EBF">
              <w:rPr>
                <w:b/>
                <w:spacing w:val="-5"/>
              </w:rPr>
              <w:t xml:space="preserve"> </w:t>
            </w:r>
            <w:r w:rsidRPr="007C1EBF">
              <w:rPr>
                <w:b/>
                <w:spacing w:val="-2"/>
              </w:rPr>
              <w:t>delay.</w:t>
            </w:r>
          </w:p>
        </w:tc>
        <w:tc>
          <w:tcPr>
            <w:tcW w:w="4670" w:type="dxa"/>
          </w:tcPr>
          <w:p w14:paraId="63215D91" w14:textId="77777777" w:rsidR="007C1EBF" w:rsidRPr="007C1EBF" w:rsidRDefault="007C1EBF" w:rsidP="001C6C93">
            <w:pPr>
              <w:pStyle w:val="TableParagraph"/>
              <w:ind w:left="0"/>
              <w:rPr>
                <w:rFonts w:ascii="Times New Roman"/>
              </w:rPr>
            </w:pPr>
          </w:p>
        </w:tc>
      </w:tr>
      <w:tr w:rsidR="007C1EBF" w:rsidRPr="007C1EBF" w14:paraId="6BE53DE3" w14:textId="77777777" w:rsidTr="001C6C93">
        <w:trPr>
          <w:trHeight w:val="604"/>
        </w:trPr>
        <w:tc>
          <w:tcPr>
            <w:tcW w:w="4936" w:type="dxa"/>
          </w:tcPr>
          <w:p w14:paraId="751884E1" w14:textId="77777777" w:rsidR="007C1EBF" w:rsidRPr="007C1EBF" w:rsidRDefault="007C1EBF" w:rsidP="001C6C93">
            <w:pPr>
              <w:pStyle w:val="TableParagraph"/>
              <w:ind w:right="1980"/>
              <w:rPr>
                <w:b/>
              </w:rPr>
            </w:pPr>
            <w:r w:rsidRPr="007C1EBF">
              <w:rPr>
                <w:b/>
              </w:rPr>
              <w:t>Location of Theft/Loss (if</w:t>
            </w:r>
            <w:r w:rsidRPr="007C1EBF">
              <w:rPr>
                <w:b/>
                <w:spacing w:val="-13"/>
              </w:rPr>
              <w:t xml:space="preserve"> </w:t>
            </w:r>
            <w:r w:rsidRPr="007C1EBF">
              <w:rPr>
                <w:b/>
              </w:rPr>
              <w:t>different</w:t>
            </w:r>
            <w:r w:rsidRPr="007C1EBF">
              <w:rPr>
                <w:b/>
                <w:spacing w:val="-13"/>
              </w:rPr>
              <w:t xml:space="preserve"> </w:t>
            </w:r>
            <w:r w:rsidRPr="007C1EBF">
              <w:rPr>
                <w:b/>
              </w:rPr>
              <w:t>from</w:t>
            </w:r>
            <w:r w:rsidRPr="007C1EBF">
              <w:rPr>
                <w:b/>
                <w:spacing w:val="-13"/>
              </w:rPr>
              <w:t xml:space="preserve"> </w:t>
            </w:r>
            <w:r w:rsidRPr="007C1EBF">
              <w:rPr>
                <w:b/>
              </w:rPr>
              <w:t>above)</w:t>
            </w:r>
          </w:p>
        </w:tc>
        <w:tc>
          <w:tcPr>
            <w:tcW w:w="4670" w:type="dxa"/>
          </w:tcPr>
          <w:p w14:paraId="48AE905E" w14:textId="77777777" w:rsidR="007C1EBF" w:rsidRPr="007C1EBF" w:rsidRDefault="007C1EBF" w:rsidP="001C6C93">
            <w:pPr>
              <w:pStyle w:val="TableParagraph"/>
              <w:ind w:left="0"/>
              <w:rPr>
                <w:rFonts w:ascii="Times New Roman"/>
              </w:rPr>
            </w:pPr>
          </w:p>
        </w:tc>
      </w:tr>
      <w:tr w:rsidR="007C1EBF" w:rsidRPr="007C1EBF" w14:paraId="48D91D9B" w14:textId="77777777" w:rsidTr="001C6C93">
        <w:trPr>
          <w:trHeight w:val="1276"/>
        </w:trPr>
        <w:tc>
          <w:tcPr>
            <w:tcW w:w="4936" w:type="dxa"/>
          </w:tcPr>
          <w:p w14:paraId="54842234" w14:textId="77777777" w:rsidR="007C1EBF" w:rsidRPr="007C1EBF" w:rsidRDefault="007C1EBF" w:rsidP="001C6C93">
            <w:pPr>
              <w:pStyle w:val="TableParagraph"/>
              <w:rPr>
                <w:b/>
              </w:rPr>
            </w:pPr>
            <w:r w:rsidRPr="007C1EBF">
              <w:rPr>
                <w:b/>
              </w:rPr>
              <w:t>Please provide the details of the Drugs Lost/Stolen</w:t>
            </w:r>
            <w:r w:rsidRPr="007C1EBF">
              <w:rPr>
                <w:b/>
                <w:spacing w:val="-5"/>
              </w:rPr>
              <w:t xml:space="preserve"> </w:t>
            </w:r>
            <w:r w:rsidRPr="007C1EBF">
              <w:rPr>
                <w:b/>
              </w:rPr>
              <w:t>–</w:t>
            </w:r>
            <w:r w:rsidRPr="007C1EBF">
              <w:rPr>
                <w:b/>
                <w:spacing w:val="-8"/>
              </w:rPr>
              <w:t xml:space="preserve"> </w:t>
            </w:r>
            <w:r w:rsidRPr="007C1EBF">
              <w:rPr>
                <w:b/>
              </w:rPr>
              <w:t>including</w:t>
            </w:r>
            <w:r w:rsidRPr="007C1EBF">
              <w:rPr>
                <w:b/>
                <w:spacing w:val="-7"/>
              </w:rPr>
              <w:t xml:space="preserve"> </w:t>
            </w:r>
            <w:r w:rsidRPr="007C1EBF">
              <w:rPr>
                <w:b/>
              </w:rPr>
              <w:t>the</w:t>
            </w:r>
            <w:r w:rsidRPr="007C1EBF">
              <w:rPr>
                <w:b/>
                <w:spacing w:val="-9"/>
              </w:rPr>
              <w:t xml:space="preserve"> </w:t>
            </w:r>
            <w:r w:rsidRPr="007C1EBF">
              <w:rPr>
                <w:b/>
              </w:rPr>
              <w:t>drug</w:t>
            </w:r>
            <w:r w:rsidRPr="007C1EBF">
              <w:rPr>
                <w:b/>
                <w:spacing w:val="-7"/>
              </w:rPr>
              <w:t xml:space="preserve"> </w:t>
            </w:r>
            <w:r w:rsidRPr="007C1EBF">
              <w:rPr>
                <w:b/>
              </w:rPr>
              <w:t>type(s), form(s), quantities.</w:t>
            </w:r>
          </w:p>
        </w:tc>
        <w:tc>
          <w:tcPr>
            <w:tcW w:w="4670" w:type="dxa"/>
          </w:tcPr>
          <w:p w14:paraId="6C20FEBA" w14:textId="77777777" w:rsidR="007C1EBF" w:rsidRPr="007C1EBF" w:rsidRDefault="007C1EBF" w:rsidP="001C6C93">
            <w:pPr>
              <w:pStyle w:val="TableParagraph"/>
              <w:ind w:left="0"/>
              <w:rPr>
                <w:rFonts w:ascii="Times New Roman"/>
              </w:rPr>
            </w:pPr>
          </w:p>
        </w:tc>
      </w:tr>
      <w:tr w:rsidR="007C1EBF" w:rsidRPr="007C1EBF" w14:paraId="472E5626" w14:textId="77777777" w:rsidTr="007C1EBF">
        <w:trPr>
          <w:trHeight w:val="1295"/>
        </w:trPr>
        <w:tc>
          <w:tcPr>
            <w:tcW w:w="4936" w:type="dxa"/>
          </w:tcPr>
          <w:p w14:paraId="4C519CD9" w14:textId="77777777" w:rsidR="007C1EBF" w:rsidRPr="007C1EBF" w:rsidRDefault="007C1EBF" w:rsidP="001C6C93">
            <w:pPr>
              <w:pStyle w:val="TableParagraph"/>
              <w:rPr>
                <w:b/>
              </w:rPr>
            </w:pPr>
            <w:r w:rsidRPr="007C1EBF">
              <w:rPr>
                <w:b/>
              </w:rPr>
              <w:t>Please</w:t>
            </w:r>
            <w:r w:rsidRPr="007C1EBF">
              <w:rPr>
                <w:b/>
                <w:spacing w:val="-9"/>
              </w:rPr>
              <w:t xml:space="preserve"> </w:t>
            </w:r>
            <w:r w:rsidRPr="007C1EBF">
              <w:rPr>
                <w:b/>
              </w:rPr>
              <w:t>provide</w:t>
            </w:r>
            <w:r w:rsidRPr="007C1EBF">
              <w:rPr>
                <w:b/>
                <w:spacing w:val="-11"/>
              </w:rPr>
              <w:t xml:space="preserve"> </w:t>
            </w:r>
            <w:r w:rsidRPr="007C1EBF">
              <w:rPr>
                <w:b/>
              </w:rPr>
              <w:t>the</w:t>
            </w:r>
            <w:r w:rsidRPr="007C1EBF">
              <w:rPr>
                <w:b/>
                <w:spacing w:val="-8"/>
              </w:rPr>
              <w:t xml:space="preserve"> </w:t>
            </w:r>
            <w:r w:rsidRPr="007C1EBF">
              <w:rPr>
                <w:b/>
              </w:rPr>
              <w:t>circumstances</w:t>
            </w:r>
            <w:r w:rsidRPr="007C1EBF">
              <w:rPr>
                <w:b/>
                <w:spacing w:val="-10"/>
              </w:rPr>
              <w:t xml:space="preserve"> </w:t>
            </w:r>
            <w:r w:rsidRPr="007C1EBF">
              <w:rPr>
                <w:b/>
              </w:rPr>
              <w:t xml:space="preserve">of </w:t>
            </w:r>
            <w:r w:rsidRPr="007C1EBF">
              <w:rPr>
                <w:b/>
                <w:spacing w:val="-2"/>
              </w:rPr>
              <w:t>Theft/Loss</w:t>
            </w:r>
          </w:p>
        </w:tc>
        <w:tc>
          <w:tcPr>
            <w:tcW w:w="4670" w:type="dxa"/>
          </w:tcPr>
          <w:p w14:paraId="71FB0CFE" w14:textId="77777777" w:rsidR="007C1EBF" w:rsidRPr="007C1EBF" w:rsidRDefault="007C1EBF" w:rsidP="001C6C93">
            <w:pPr>
              <w:pStyle w:val="TableParagraph"/>
              <w:ind w:left="0"/>
              <w:rPr>
                <w:rFonts w:ascii="Times New Roman"/>
              </w:rPr>
            </w:pPr>
          </w:p>
        </w:tc>
      </w:tr>
      <w:tr w:rsidR="007C1EBF" w:rsidRPr="007C1EBF" w14:paraId="69603E6D" w14:textId="77777777" w:rsidTr="001C6C93">
        <w:trPr>
          <w:trHeight w:val="3370"/>
        </w:trPr>
        <w:tc>
          <w:tcPr>
            <w:tcW w:w="4936" w:type="dxa"/>
          </w:tcPr>
          <w:p w14:paraId="57ABBC9B" w14:textId="77777777" w:rsidR="007C1EBF" w:rsidRPr="007C1EBF" w:rsidRDefault="007C1EBF" w:rsidP="001C6C93">
            <w:pPr>
              <w:pStyle w:val="TableParagraph"/>
              <w:rPr>
                <w:b/>
              </w:rPr>
            </w:pPr>
            <w:r w:rsidRPr="007C1EBF">
              <w:rPr>
                <w:b/>
              </w:rPr>
              <w:t>Please provide the details and actions taken by the Police, including contact details,</w:t>
            </w:r>
            <w:r w:rsidRPr="007C1EBF">
              <w:rPr>
                <w:b/>
                <w:spacing w:val="-4"/>
              </w:rPr>
              <w:t xml:space="preserve"> </w:t>
            </w:r>
            <w:r w:rsidRPr="007C1EBF">
              <w:rPr>
                <w:b/>
              </w:rPr>
              <w:t>date</w:t>
            </w:r>
            <w:r w:rsidRPr="007C1EBF">
              <w:rPr>
                <w:b/>
                <w:spacing w:val="-6"/>
              </w:rPr>
              <w:t xml:space="preserve"> </w:t>
            </w:r>
            <w:r w:rsidRPr="007C1EBF">
              <w:rPr>
                <w:b/>
              </w:rPr>
              <w:t>and</w:t>
            </w:r>
            <w:r w:rsidRPr="007C1EBF">
              <w:rPr>
                <w:b/>
                <w:spacing w:val="-1"/>
              </w:rPr>
              <w:t xml:space="preserve"> </w:t>
            </w:r>
            <w:r w:rsidRPr="007C1EBF">
              <w:rPr>
                <w:b/>
              </w:rPr>
              <w:t>Crime</w:t>
            </w:r>
            <w:r w:rsidRPr="007C1EBF">
              <w:rPr>
                <w:b/>
                <w:spacing w:val="-6"/>
              </w:rPr>
              <w:t xml:space="preserve"> </w:t>
            </w:r>
            <w:r w:rsidRPr="007C1EBF">
              <w:rPr>
                <w:b/>
              </w:rPr>
              <w:t>Reference</w:t>
            </w:r>
            <w:r w:rsidRPr="007C1EBF">
              <w:rPr>
                <w:b/>
                <w:spacing w:val="-3"/>
              </w:rPr>
              <w:t xml:space="preserve"> </w:t>
            </w:r>
            <w:r w:rsidRPr="007C1EBF">
              <w:rPr>
                <w:b/>
                <w:spacing w:val="-2"/>
              </w:rPr>
              <w:t>number</w:t>
            </w:r>
          </w:p>
          <w:p w14:paraId="726F671D" w14:textId="77777777" w:rsidR="007C1EBF" w:rsidRPr="007C1EBF" w:rsidRDefault="007C1EBF" w:rsidP="001C6C93">
            <w:pPr>
              <w:pStyle w:val="TableParagraph"/>
              <w:spacing w:before="252"/>
              <w:ind w:left="0"/>
            </w:pPr>
          </w:p>
          <w:p w14:paraId="36D3B773" w14:textId="77777777" w:rsidR="007C1EBF" w:rsidRPr="007C1EBF" w:rsidRDefault="007C1EBF" w:rsidP="001C6C93">
            <w:pPr>
              <w:pStyle w:val="TableParagraph"/>
              <w:ind w:right="158"/>
              <w:jc w:val="both"/>
              <w:rPr>
                <w:b/>
              </w:rPr>
            </w:pPr>
            <w:r w:rsidRPr="007C1EBF">
              <w:rPr>
                <w:b/>
              </w:rPr>
              <w:t>If</w:t>
            </w:r>
            <w:r w:rsidRPr="007C1EBF">
              <w:rPr>
                <w:b/>
                <w:spacing w:val="-5"/>
              </w:rPr>
              <w:t xml:space="preserve"> </w:t>
            </w:r>
            <w:r w:rsidRPr="007C1EBF">
              <w:rPr>
                <w:b/>
              </w:rPr>
              <w:t>the</w:t>
            </w:r>
            <w:r w:rsidRPr="007C1EBF">
              <w:rPr>
                <w:b/>
                <w:spacing w:val="-9"/>
              </w:rPr>
              <w:t xml:space="preserve"> </w:t>
            </w:r>
            <w:r w:rsidRPr="007C1EBF">
              <w:rPr>
                <w:b/>
              </w:rPr>
              <w:t>police</w:t>
            </w:r>
            <w:r w:rsidRPr="007C1EBF">
              <w:rPr>
                <w:b/>
                <w:spacing w:val="-4"/>
              </w:rPr>
              <w:t xml:space="preserve"> </w:t>
            </w:r>
            <w:r w:rsidRPr="007C1EBF">
              <w:rPr>
                <w:b/>
              </w:rPr>
              <w:t>have</w:t>
            </w:r>
            <w:r w:rsidRPr="007C1EBF">
              <w:rPr>
                <w:b/>
                <w:spacing w:val="-7"/>
              </w:rPr>
              <w:t xml:space="preserve"> </w:t>
            </w:r>
            <w:r w:rsidRPr="007C1EBF">
              <w:rPr>
                <w:b/>
              </w:rPr>
              <w:t>not</w:t>
            </w:r>
            <w:r w:rsidRPr="007C1EBF">
              <w:rPr>
                <w:b/>
                <w:spacing w:val="-5"/>
              </w:rPr>
              <w:t xml:space="preserve"> </w:t>
            </w:r>
            <w:r w:rsidRPr="007C1EBF">
              <w:rPr>
                <w:b/>
              </w:rPr>
              <w:t>been</w:t>
            </w:r>
            <w:r w:rsidRPr="007C1EBF">
              <w:rPr>
                <w:b/>
                <w:spacing w:val="-5"/>
              </w:rPr>
              <w:t xml:space="preserve"> </w:t>
            </w:r>
            <w:proofErr w:type="gramStart"/>
            <w:r w:rsidRPr="007C1EBF">
              <w:rPr>
                <w:b/>
              </w:rPr>
              <w:t>notified</w:t>
            </w:r>
            <w:proofErr w:type="gramEnd"/>
            <w:r w:rsidRPr="007C1EBF">
              <w:rPr>
                <w:b/>
                <w:spacing w:val="-5"/>
              </w:rPr>
              <w:t xml:space="preserve"> </w:t>
            </w:r>
            <w:r w:rsidRPr="007C1EBF">
              <w:rPr>
                <w:b/>
              </w:rPr>
              <w:t>please provide an</w:t>
            </w:r>
            <w:r w:rsidRPr="007C1EBF">
              <w:rPr>
                <w:b/>
                <w:spacing w:val="-1"/>
              </w:rPr>
              <w:t xml:space="preserve"> </w:t>
            </w:r>
            <w:r w:rsidRPr="007C1EBF">
              <w:rPr>
                <w:b/>
              </w:rPr>
              <w:t>explanation</w:t>
            </w:r>
            <w:r w:rsidRPr="007C1EBF">
              <w:rPr>
                <w:b/>
                <w:spacing w:val="-1"/>
              </w:rPr>
              <w:t xml:space="preserve"> </w:t>
            </w:r>
            <w:r w:rsidRPr="007C1EBF">
              <w:rPr>
                <w:b/>
              </w:rPr>
              <w:t>to</w:t>
            </w:r>
            <w:r w:rsidRPr="007C1EBF">
              <w:rPr>
                <w:b/>
                <w:spacing w:val="-1"/>
              </w:rPr>
              <w:t xml:space="preserve"> </w:t>
            </w:r>
            <w:r w:rsidRPr="007C1EBF">
              <w:rPr>
                <w:b/>
              </w:rPr>
              <w:t>why no contact has been made.</w:t>
            </w:r>
          </w:p>
          <w:p w14:paraId="7331909D" w14:textId="77777777" w:rsidR="007C1EBF" w:rsidRPr="007C1EBF" w:rsidRDefault="007C1EBF" w:rsidP="001C6C93">
            <w:pPr>
              <w:pStyle w:val="TableParagraph"/>
              <w:spacing w:before="1"/>
              <w:ind w:left="0"/>
            </w:pPr>
          </w:p>
          <w:p w14:paraId="4F85CF12" w14:textId="77777777" w:rsidR="007C1EBF" w:rsidRPr="007C1EBF" w:rsidRDefault="007C1EBF" w:rsidP="001C6C93">
            <w:pPr>
              <w:pStyle w:val="TableParagraph"/>
              <w:rPr>
                <w:b/>
              </w:rPr>
            </w:pPr>
            <w:r w:rsidRPr="007C1EBF">
              <w:rPr>
                <w:b/>
              </w:rPr>
              <w:t>If</w:t>
            </w:r>
            <w:r w:rsidRPr="007C1EBF">
              <w:rPr>
                <w:b/>
                <w:spacing w:val="-5"/>
              </w:rPr>
              <w:t xml:space="preserve"> </w:t>
            </w:r>
            <w:r w:rsidRPr="007C1EBF">
              <w:rPr>
                <w:b/>
              </w:rPr>
              <w:t>any</w:t>
            </w:r>
            <w:r w:rsidRPr="007C1EBF">
              <w:rPr>
                <w:b/>
                <w:spacing w:val="-4"/>
              </w:rPr>
              <w:t xml:space="preserve"> </w:t>
            </w:r>
            <w:r w:rsidRPr="007C1EBF">
              <w:rPr>
                <w:b/>
              </w:rPr>
              <w:t>other</w:t>
            </w:r>
            <w:r w:rsidRPr="007C1EBF">
              <w:rPr>
                <w:b/>
                <w:spacing w:val="-3"/>
              </w:rPr>
              <w:t xml:space="preserve"> </w:t>
            </w:r>
            <w:r w:rsidRPr="007C1EBF">
              <w:rPr>
                <w:b/>
              </w:rPr>
              <w:t>company</w:t>
            </w:r>
            <w:r w:rsidRPr="007C1EBF">
              <w:rPr>
                <w:b/>
                <w:spacing w:val="-7"/>
              </w:rPr>
              <w:t xml:space="preserve"> </w:t>
            </w:r>
            <w:r w:rsidRPr="007C1EBF">
              <w:rPr>
                <w:b/>
              </w:rPr>
              <w:t>involved</w:t>
            </w:r>
            <w:r w:rsidRPr="007C1EBF">
              <w:rPr>
                <w:b/>
                <w:spacing w:val="-7"/>
              </w:rPr>
              <w:t xml:space="preserve"> </w:t>
            </w:r>
            <w:r w:rsidRPr="007C1EBF">
              <w:rPr>
                <w:b/>
              </w:rPr>
              <w:t>(E.g.</w:t>
            </w:r>
            <w:r w:rsidRPr="007C1EBF">
              <w:rPr>
                <w:b/>
                <w:spacing w:val="-4"/>
              </w:rPr>
              <w:t xml:space="preserve"> </w:t>
            </w:r>
            <w:r w:rsidRPr="007C1EBF">
              <w:rPr>
                <w:b/>
              </w:rPr>
              <w:t>train</w:t>
            </w:r>
            <w:r w:rsidRPr="007C1EBF">
              <w:rPr>
                <w:b/>
                <w:spacing w:val="-7"/>
              </w:rPr>
              <w:t xml:space="preserve"> </w:t>
            </w:r>
            <w:r w:rsidRPr="007C1EBF">
              <w:rPr>
                <w:b/>
              </w:rPr>
              <w:t>/ bus), who has been contacted regarding this loss?</w:t>
            </w:r>
          </w:p>
        </w:tc>
        <w:tc>
          <w:tcPr>
            <w:tcW w:w="4670" w:type="dxa"/>
          </w:tcPr>
          <w:p w14:paraId="5B65BF14" w14:textId="77777777" w:rsidR="007C1EBF" w:rsidRPr="007C1EBF" w:rsidRDefault="007C1EBF" w:rsidP="001C6C93">
            <w:pPr>
              <w:pStyle w:val="TableParagraph"/>
              <w:ind w:left="0"/>
              <w:rPr>
                <w:rFonts w:ascii="Times New Roman"/>
              </w:rPr>
            </w:pPr>
          </w:p>
        </w:tc>
      </w:tr>
      <w:tr w:rsidR="007C1EBF" w:rsidRPr="007C1EBF" w14:paraId="4882366A" w14:textId="77777777" w:rsidTr="001C6C93">
        <w:trPr>
          <w:trHeight w:val="1413"/>
        </w:trPr>
        <w:tc>
          <w:tcPr>
            <w:tcW w:w="4936" w:type="dxa"/>
          </w:tcPr>
          <w:p w14:paraId="2C47C579" w14:textId="77777777" w:rsidR="007C1EBF" w:rsidRPr="007C1EBF" w:rsidRDefault="007C1EBF" w:rsidP="001C6C93">
            <w:pPr>
              <w:pStyle w:val="TableParagraph"/>
              <w:spacing w:before="2"/>
              <w:rPr>
                <w:b/>
              </w:rPr>
            </w:pPr>
            <w:r w:rsidRPr="007C1EBF">
              <w:rPr>
                <w:b/>
              </w:rPr>
              <w:t xml:space="preserve">Has this </w:t>
            </w:r>
            <w:proofErr w:type="gramStart"/>
            <w:r w:rsidRPr="007C1EBF">
              <w:rPr>
                <w:b/>
              </w:rPr>
              <w:t>particular type of incident</w:t>
            </w:r>
            <w:proofErr w:type="gramEnd"/>
            <w:r w:rsidRPr="007C1EBF">
              <w:rPr>
                <w:b/>
              </w:rPr>
              <w:t xml:space="preserve"> occurred</w:t>
            </w:r>
            <w:r w:rsidRPr="007C1EBF">
              <w:rPr>
                <w:b/>
                <w:spacing w:val="-5"/>
              </w:rPr>
              <w:t xml:space="preserve"> </w:t>
            </w:r>
            <w:r w:rsidRPr="007C1EBF">
              <w:rPr>
                <w:b/>
              </w:rPr>
              <w:t>before,</w:t>
            </w:r>
            <w:r w:rsidRPr="007C1EBF">
              <w:rPr>
                <w:b/>
                <w:spacing w:val="-7"/>
              </w:rPr>
              <w:t xml:space="preserve"> </w:t>
            </w:r>
            <w:r w:rsidRPr="007C1EBF">
              <w:rPr>
                <w:b/>
              </w:rPr>
              <w:t>i.e.</w:t>
            </w:r>
            <w:r w:rsidRPr="007C1EBF">
              <w:rPr>
                <w:b/>
                <w:spacing w:val="-5"/>
              </w:rPr>
              <w:t xml:space="preserve"> </w:t>
            </w:r>
            <w:r w:rsidRPr="007C1EBF">
              <w:rPr>
                <w:b/>
              </w:rPr>
              <w:t>is</w:t>
            </w:r>
            <w:r w:rsidRPr="007C1EBF">
              <w:rPr>
                <w:b/>
                <w:spacing w:val="-5"/>
              </w:rPr>
              <w:t xml:space="preserve"> </w:t>
            </w:r>
            <w:r w:rsidRPr="007C1EBF">
              <w:rPr>
                <w:b/>
              </w:rPr>
              <w:t>there</w:t>
            </w:r>
            <w:r w:rsidRPr="007C1EBF">
              <w:rPr>
                <w:b/>
                <w:spacing w:val="-7"/>
              </w:rPr>
              <w:t xml:space="preserve"> </w:t>
            </w:r>
            <w:r w:rsidRPr="007C1EBF">
              <w:rPr>
                <w:b/>
              </w:rPr>
              <w:t>any</w:t>
            </w:r>
            <w:r w:rsidRPr="007C1EBF">
              <w:rPr>
                <w:b/>
                <w:spacing w:val="-6"/>
              </w:rPr>
              <w:t xml:space="preserve"> </w:t>
            </w:r>
            <w:r w:rsidRPr="007C1EBF">
              <w:rPr>
                <w:b/>
              </w:rPr>
              <w:t>emerging pattern? (GP to complete)</w:t>
            </w:r>
          </w:p>
        </w:tc>
        <w:tc>
          <w:tcPr>
            <w:tcW w:w="4670" w:type="dxa"/>
          </w:tcPr>
          <w:p w14:paraId="586F7FAF" w14:textId="77777777" w:rsidR="007C1EBF" w:rsidRPr="007C1EBF" w:rsidRDefault="007C1EBF" w:rsidP="001C6C93">
            <w:pPr>
              <w:pStyle w:val="TableParagraph"/>
              <w:ind w:left="0"/>
              <w:rPr>
                <w:rFonts w:ascii="Times New Roman"/>
              </w:rPr>
            </w:pPr>
          </w:p>
        </w:tc>
      </w:tr>
      <w:tr w:rsidR="007C1EBF" w:rsidRPr="007C1EBF" w14:paraId="4C991BAC" w14:textId="77777777" w:rsidTr="001C6C93">
        <w:trPr>
          <w:trHeight w:val="567"/>
        </w:trPr>
        <w:tc>
          <w:tcPr>
            <w:tcW w:w="4936" w:type="dxa"/>
          </w:tcPr>
          <w:p w14:paraId="466E522E" w14:textId="77777777" w:rsidR="007C1EBF" w:rsidRPr="007C1EBF" w:rsidRDefault="007C1EBF" w:rsidP="001C6C93">
            <w:pPr>
              <w:pStyle w:val="TableParagraph"/>
              <w:spacing w:before="2"/>
              <w:rPr>
                <w:b/>
              </w:rPr>
            </w:pPr>
            <w:r w:rsidRPr="007C1EBF">
              <w:rPr>
                <w:b/>
              </w:rPr>
              <w:t>Name</w:t>
            </w:r>
            <w:r w:rsidRPr="007C1EBF">
              <w:rPr>
                <w:b/>
                <w:spacing w:val="-3"/>
              </w:rPr>
              <w:t xml:space="preserve"> </w:t>
            </w:r>
            <w:r w:rsidRPr="007C1EBF">
              <w:rPr>
                <w:b/>
              </w:rPr>
              <w:t>of</w:t>
            </w:r>
            <w:r w:rsidRPr="007C1EBF">
              <w:rPr>
                <w:b/>
                <w:spacing w:val="-2"/>
              </w:rPr>
              <w:t xml:space="preserve"> </w:t>
            </w:r>
            <w:r w:rsidRPr="007C1EBF">
              <w:rPr>
                <w:b/>
              </w:rPr>
              <w:t>person</w:t>
            </w:r>
            <w:r w:rsidRPr="007C1EBF">
              <w:rPr>
                <w:b/>
                <w:spacing w:val="-5"/>
              </w:rPr>
              <w:t xml:space="preserve"> </w:t>
            </w:r>
            <w:r w:rsidRPr="007C1EBF">
              <w:rPr>
                <w:b/>
              </w:rPr>
              <w:t>completing</w:t>
            </w:r>
            <w:r w:rsidRPr="007C1EBF">
              <w:rPr>
                <w:b/>
                <w:spacing w:val="-5"/>
              </w:rPr>
              <w:t xml:space="preserve"> </w:t>
            </w:r>
            <w:r w:rsidRPr="007C1EBF">
              <w:rPr>
                <w:b/>
              </w:rPr>
              <w:t>this</w:t>
            </w:r>
            <w:r w:rsidRPr="007C1EBF">
              <w:rPr>
                <w:b/>
                <w:spacing w:val="-3"/>
              </w:rPr>
              <w:t xml:space="preserve"> </w:t>
            </w:r>
            <w:r w:rsidRPr="007C1EBF">
              <w:rPr>
                <w:b/>
                <w:spacing w:val="-4"/>
              </w:rPr>
              <w:t>form:</w:t>
            </w:r>
          </w:p>
        </w:tc>
        <w:tc>
          <w:tcPr>
            <w:tcW w:w="4670" w:type="dxa"/>
          </w:tcPr>
          <w:p w14:paraId="1153881B" w14:textId="77777777" w:rsidR="007C1EBF" w:rsidRPr="007C1EBF" w:rsidRDefault="007C1EBF" w:rsidP="001C6C93">
            <w:pPr>
              <w:pStyle w:val="TableParagraph"/>
              <w:ind w:left="0"/>
              <w:rPr>
                <w:rFonts w:ascii="Times New Roman"/>
              </w:rPr>
            </w:pPr>
          </w:p>
        </w:tc>
      </w:tr>
      <w:tr w:rsidR="007C1EBF" w:rsidRPr="007C1EBF" w14:paraId="49D27899" w14:textId="77777777" w:rsidTr="001C6C93">
        <w:trPr>
          <w:trHeight w:val="567"/>
        </w:trPr>
        <w:tc>
          <w:tcPr>
            <w:tcW w:w="4936" w:type="dxa"/>
          </w:tcPr>
          <w:p w14:paraId="28C7613D" w14:textId="77777777" w:rsidR="007C1EBF" w:rsidRPr="007C1EBF" w:rsidRDefault="007C1EBF" w:rsidP="001C6C93">
            <w:pPr>
              <w:pStyle w:val="TableParagraph"/>
              <w:spacing w:before="2"/>
              <w:rPr>
                <w:b/>
              </w:rPr>
            </w:pPr>
            <w:r w:rsidRPr="007C1EBF">
              <w:rPr>
                <w:b/>
                <w:spacing w:val="-2"/>
              </w:rPr>
              <w:t>Date:</w:t>
            </w:r>
          </w:p>
        </w:tc>
        <w:tc>
          <w:tcPr>
            <w:tcW w:w="4670" w:type="dxa"/>
          </w:tcPr>
          <w:p w14:paraId="03EA2D24" w14:textId="77777777" w:rsidR="007C1EBF" w:rsidRPr="007C1EBF" w:rsidRDefault="007C1EBF" w:rsidP="001C6C93">
            <w:pPr>
              <w:pStyle w:val="TableParagraph"/>
              <w:ind w:left="0"/>
              <w:rPr>
                <w:rFonts w:ascii="Times New Roman"/>
              </w:rPr>
            </w:pPr>
          </w:p>
        </w:tc>
      </w:tr>
    </w:tbl>
    <w:p w14:paraId="53712244" w14:textId="77777777" w:rsidR="00BE4DDC" w:rsidRPr="007C1EBF" w:rsidRDefault="00BE4DDC" w:rsidP="007C1EBF"/>
    <w:sectPr w:rsidR="00BE4DDC" w:rsidRPr="007C1EBF" w:rsidSect="007C1EBF">
      <w:headerReference w:type="default" r:id="rId18"/>
      <w:pgSz w:w="11906" w:h="16838"/>
      <w:pgMar w:top="1021" w:right="907" w:bottom="1134" w:left="102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E028" w14:textId="77777777" w:rsidR="007C1EBF" w:rsidRDefault="007C1EBF" w:rsidP="007C1EBF">
      <w:pPr>
        <w:spacing w:after="0" w:line="240" w:lineRule="auto"/>
      </w:pPr>
      <w:r>
        <w:separator/>
      </w:r>
    </w:p>
  </w:endnote>
  <w:endnote w:type="continuationSeparator" w:id="0">
    <w:p w14:paraId="66EEEF58" w14:textId="77777777" w:rsidR="007C1EBF" w:rsidRDefault="007C1EBF" w:rsidP="007C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5A954" w14:textId="77777777" w:rsidR="007C1EBF" w:rsidRDefault="007C1EBF" w:rsidP="007C1EBF">
      <w:pPr>
        <w:spacing w:after="0" w:line="240" w:lineRule="auto"/>
      </w:pPr>
      <w:r>
        <w:separator/>
      </w:r>
    </w:p>
  </w:footnote>
  <w:footnote w:type="continuationSeparator" w:id="0">
    <w:p w14:paraId="1D8E4422" w14:textId="77777777" w:rsidR="007C1EBF" w:rsidRDefault="007C1EBF" w:rsidP="007C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16EC" w14:textId="5A8BC4B4" w:rsidR="007C1EBF" w:rsidRDefault="007C1EBF" w:rsidP="007C1EBF">
    <w:pPr>
      <w:pStyle w:val="Header"/>
      <w:jc w:val="center"/>
    </w:pPr>
    <w:r>
      <w:rPr>
        <w:noProof/>
      </w:rPr>
      <w:drawing>
        <wp:inline distT="0" distB="0" distL="0" distR="0" wp14:anchorId="3F061DC9" wp14:editId="43A300A9">
          <wp:extent cx="762000" cy="690408"/>
          <wp:effectExtent l="0" t="0" r="0" b="0"/>
          <wp:docPr id="783292323" name="Picture 1" descr="A lighthouse and a lighthouse on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40097" name="Picture 1" descr="A lighthouse and a lighthouse on a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462" cy="700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CD8"/>
    <w:multiLevelType w:val="multilevel"/>
    <w:tmpl w:val="2F6C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55890"/>
    <w:multiLevelType w:val="multilevel"/>
    <w:tmpl w:val="8CE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E527F"/>
    <w:multiLevelType w:val="multilevel"/>
    <w:tmpl w:val="2FF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20122D"/>
    <w:multiLevelType w:val="multilevel"/>
    <w:tmpl w:val="06CE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404520"/>
    <w:multiLevelType w:val="multilevel"/>
    <w:tmpl w:val="628A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21313"/>
    <w:multiLevelType w:val="multilevel"/>
    <w:tmpl w:val="E80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29828">
    <w:abstractNumId w:val="5"/>
  </w:num>
  <w:num w:numId="2" w16cid:durableId="1158113930">
    <w:abstractNumId w:val="1"/>
  </w:num>
  <w:num w:numId="3" w16cid:durableId="868879389">
    <w:abstractNumId w:val="4"/>
  </w:num>
  <w:num w:numId="4" w16cid:durableId="721558222">
    <w:abstractNumId w:val="2"/>
  </w:num>
  <w:num w:numId="5" w16cid:durableId="957834126">
    <w:abstractNumId w:val="3"/>
  </w:num>
  <w:num w:numId="6" w16cid:durableId="190613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04"/>
    <w:rsid w:val="001918FD"/>
    <w:rsid w:val="00224C6D"/>
    <w:rsid w:val="003009E3"/>
    <w:rsid w:val="00346436"/>
    <w:rsid w:val="00362959"/>
    <w:rsid w:val="003F00B5"/>
    <w:rsid w:val="003F6624"/>
    <w:rsid w:val="004040BD"/>
    <w:rsid w:val="0076792A"/>
    <w:rsid w:val="007C1EBF"/>
    <w:rsid w:val="007F6558"/>
    <w:rsid w:val="0082132E"/>
    <w:rsid w:val="008B38BF"/>
    <w:rsid w:val="008E2D3F"/>
    <w:rsid w:val="00963819"/>
    <w:rsid w:val="0099141B"/>
    <w:rsid w:val="00A02ACA"/>
    <w:rsid w:val="00A05961"/>
    <w:rsid w:val="00A5482D"/>
    <w:rsid w:val="00B1063C"/>
    <w:rsid w:val="00BC1EDD"/>
    <w:rsid w:val="00BD3545"/>
    <w:rsid w:val="00BE4DDC"/>
    <w:rsid w:val="00CA3E4D"/>
    <w:rsid w:val="00CA578F"/>
    <w:rsid w:val="00D02000"/>
    <w:rsid w:val="00D53041"/>
    <w:rsid w:val="00D86B5C"/>
    <w:rsid w:val="00E308FD"/>
    <w:rsid w:val="00EB4308"/>
    <w:rsid w:val="00EC4629"/>
    <w:rsid w:val="00ED4172"/>
    <w:rsid w:val="00F63794"/>
    <w:rsid w:val="00FB2A04"/>
    <w:rsid w:val="00FD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528C8"/>
  <w15:chartTrackingRefBased/>
  <w15:docId w15:val="{4AE13EA4-4EA4-4283-B531-7BDE0AAC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04"/>
    <w:rPr>
      <w:rFonts w:eastAsiaTheme="majorEastAsia" w:cstheme="majorBidi"/>
      <w:color w:val="272727" w:themeColor="text1" w:themeTint="D8"/>
    </w:rPr>
  </w:style>
  <w:style w:type="paragraph" w:styleId="Title">
    <w:name w:val="Title"/>
    <w:basedOn w:val="Normal"/>
    <w:next w:val="Normal"/>
    <w:link w:val="TitleChar"/>
    <w:uiPriority w:val="10"/>
    <w:qFormat/>
    <w:rsid w:val="00FB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04"/>
    <w:pPr>
      <w:spacing w:before="160"/>
      <w:jc w:val="center"/>
    </w:pPr>
    <w:rPr>
      <w:i/>
      <w:iCs/>
      <w:color w:val="404040" w:themeColor="text1" w:themeTint="BF"/>
    </w:rPr>
  </w:style>
  <w:style w:type="character" w:customStyle="1" w:styleId="QuoteChar">
    <w:name w:val="Quote Char"/>
    <w:basedOn w:val="DefaultParagraphFont"/>
    <w:link w:val="Quote"/>
    <w:uiPriority w:val="29"/>
    <w:rsid w:val="00FB2A04"/>
    <w:rPr>
      <w:i/>
      <w:iCs/>
      <w:color w:val="404040" w:themeColor="text1" w:themeTint="BF"/>
    </w:rPr>
  </w:style>
  <w:style w:type="paragraph" w:styleId="ListParagraph">
    <w:name w:val="List Paragraph"/>
    <w:basedOn w:val="Normal"/>
    <w:uiPriority w:val="34"/>
    <w:qFormat/>
    <w:rsid w:val="00FB2A04"/>
    <w:pPr>
      <w:ind w:left="720"/>
      <w:contextualSpacing/>
    </w:pPr>
  </w:style>
  <w:style w:type="character" w:styleId="IntenseEmphasis">
    <w:name w:val="Intense Emphasis"/>
    <w:basedOn w:val="DefaultParagraphFont"/>
    <w:uiPriority w:val="21"/>
    <w:qFormat/>
    <w:rsid w:val="00FB2A04"/>
    <w:rPr>
      <w:i/>
      <w:iCs/>
      <w:color w:val="0F4761" w:themeColor="accent1" w:themeShade="BF"/>
    </w:rPr>
  </w:style>
  <w:style w:type="paragraph" w:styleId="IntenseQuote">
    <w:name w:val="Intense Quote"/>
    <w:basedOn w:val="Normal"/>
    <w:next w:val="Normal"/>
    <w:link w:val="IntenseQuoteChar"/>
    <w:uiPriority w:val="30"/>
    <w:qFormat/>
    <w:rsid w:val="00FB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A04"/>
    <w:rPr>
      <w:i/>
      <w:iCs/>
      <w:color w:val="0F4761" w:themeColor="accent1" w:themeShade="BF"/>
    </w:rPr>
  </w:style>
  <w:style w:type="character" w:styleId="IntenseReference">
    <w:name w:val="Intense Reference"/>
    <w:basedOn w:val="DefaultParagraphFont"/>
    <w:uiPriority w:val="32"/>
    <w:qFormat/>
    <w:rsid w:val="00FB2A04"/>
    <w:rPr>
      <w:b/>
      <w:bCs/>
      <w:smallCaps/>
      <w:color w:val="0F4761" w:themeColor="accent1" w:themeShade="BF"/>
      <w:spacing w:val="5"/>
    </w:rPr>
  </w:style>
  <w:style w:type="paragraph" w:styleId="NormalWeb">
    <w:name w:val="Normal (Web)"/>
    <w:basedOn w:val="Normal"/>
    <w:uiPriority w:val="99"/>
    <w:semiHidden/>
    <w:unhideWhenUsed/>
    <w:rsid w:val="00FB2A0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B2A04"/>
    <w:rPr>
      <w:b/>
      <w:bCs/>
    </w:rPr>
  </w:style>
  <w:style w:type="character" w:styleId="Hyperlink">
    <w:name w:val="Hyperlink"/>
    <w:basedOn w:val="DefaultParagraphFont"/>
    <w:uiPriority w:val="99"/>
    <w:unhideWhenUsed/>
    <w:rsid w:val="00FB2A04"/>
    <w:rPr>
      <w:color w:val="0000FF"/>
      <w:u w:val="single"/>
    </w:rPr>
  </w:style>
  <w:style w:type="character" w:customStyle="1" w:styleId="attachment-inline">
    <w:name w:val="attachment-inline"/>
    <w:basedOn w:val="DefaultParagraphFont"/>
    <w:rsid w:val="00BE4DDC"/>
  </w:style>
  <w:style w:type="character" w:styleId="FollowedHyperlink">
    <w:name w:val="FollowedHyperlink"/>
    <w:basedOn w:val="DefaultParagraphFont"/>
    <w:uiPriority w:val="99"/>
    <w:semiHidden/>
    <w:unhideWhenUsed/>
    <w:rsid w:val="00224C6D"/>
    <w:rPr>
      <w:color w:val="96607D" w:themeColor="followedHyperlink"/>
      <w:u w:val="single"/>
    </w:rPr>
  </w:style>
  <w:style w:type="paragraph" w:styleId="Header">
    <w:name w:val="header"/>
    <w:basedOn w:val="Normal"/>
    <w:link w:val="HeaderChar"/>
    <w:uiPriority w:val="99"/>
    <w:unhideWhenUsed/>
    <w:rsid w:val="007C1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EBF"/>
  </w:style>
  <w:style w:type="paragraph" w:styleId="Footer">
    <w:name w:val="footer"/>
    <w:basedOn w:val="Normal"/>
    <w:link w:val="FooterChar"/>
    <w:uiPriority w:val="99"/>
    <w:unhideWhenUsed/>
    <w:rsid w:val="007C1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EBF"/>
  </w:style>
  <w:style w:type="paragraph" w:customStyle="1" w:styleId="DrugPolicyheaders">
    <w:name w:val="Drug Policy headers"/>
    <w:basedOn w:val="Heading1"/>
    <w:qFormat/>
    <w:rsid w:val="007C1EBF"/>
    <w:rPr>
      <w:rFonts w:eastAsia="Times New Roman"/>
      <w:color w:val="000000" w:themeColor="text1"/>
      <w:sz w:val="28"/>
      <w:lang w:eastAsia="en-GB"/>
    </w:rPr>
  </w:style>
  <w:style w:type="paragraph" w:customStyle="1" w:styleId="Style2">
    <w:name w:val="Style2"/>
    <w:basedOn w:val="DrugPolicyheaders"/>
    <w:qFormat/>
    <w:rsid w:val="007C1EBF"/>
    <w:rPr>
      <w:sz w:val="32"/>
    </w:rPr>
  </w:style>
  <w:style w:type="paragraph" w:styleId="BodyText">
    <w:name w:val="Body Text"/>
    <w:basedOn w:val="Normal"/>
    <w:link w:val="BodyTextChar"/>
    <w:uiPriority w:val="1"/>
    <w:qFormat/>
    <w:rsid w:val="007C1EBF"/>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7C1EBF"/>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7C1EBF"/>
    <w:pPr>
      <w:widowControl w:val="0"/>
      <w:autoSpaceDE w:val="0"/>
      <w:autoSpaceDN w:val="0"/>
      <w:spacing w:after="0" w:line="240" w:lineRule="auto"/>
      <w:ind w:left="107"/>
    </w:pPr>
    <w:rPr>
      <w:rFonts w:ascii="Arial" w:eastAsia="Arial" w:hAnsi="Arial" w:cs="Arial"/>
      <w:kern w:val="0"/>
      <w:sz w:val="22"/>
      <w:szCs w:val="22"/>
      <w:lang w:val="en-US"/>
      <w14:ligatures w14:val="none"/>
    </w:rPr>
  </w:style>
  <w:style w:type="paragraph" w:styleId="TOCHeading">
    <w:name w:val="TOC Heading"/>
    <w:basedOn w:val="Heading1"/>
    <w:next w:val="Normal"/>
    <w:uiPriority w:val="39"/>
    <w:unhideWhenUsed/>
    <w:qFormat/>
    <w:rsid w:val="007C1EB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C1EBF"/>
    <w:pPr>
      <w:spacing w:after="100"/>
    </w:pPr>
  </w:style>
  <w:style w:type="character" w:styleId="UnresolvedMention">
    <w:name w:val="Unresolved Mention"/>
    <w:basedOn w:val="DefaultParagraphFont"/>
    <w:uiPriority w:val="99"/>
    <w:semiHidden/>
    <w:unhideWhenUsed/>
    <w:rsid w:val="00346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4853">
      <w:bodyDiv w:val="1"/>
      <w:marLeft w:val="0"/>
      <w:marRight w:val="0"/>
      <w:marTop w:val="0"/>
      <w:marBottom w:val="0"/>
      <w:divBdr>
        <w:top w:val="none" w:sz="0" w:space="0" w:color="auto"/>
        <w:left w:val="none" w:sz="0" w:space="0" w:color="auto"/>
        <w:bottom w:val="none" w:sz="0" w:space="0" w:color="auto"/>
        <w:right w:val="none" w:sz="0" w:space="0" w:color="auto"/>
      </w:divBdr>
    </w:div>
    <w:div w:id="94062213">
      <w:bodyDiv w:val="1"/>
      <w:marLeft w:val="0"/>
      <w:marRight w:val="0"/>
      <w:marTop w:val="0"/>
      <w:marBottom w:val="0"/>
      <w:divBdr>
        <w:top w:val="none" w:sz="0" w:space="0" w:color="auto"/>
        <w:left w:val="none" w:sz="0" w:space="0" w:color="auto"/>
        <w:bottom w:val="none" w:sz="0" w:space="0" w:color="auto"/>
        <w:right w:val="none" w:sz="0" w:space="0" w:color="auto"/>
      </w:divBdr>
    </w:div>
    <w:div w:id="1306423717">
      <w:bodyDiv w:val="1"/>
      <w:marLeft w:val="0"/>
      <w:marRight w:val="0"/>
      <w:marTop w:val="0"/>
      <w:marBottom w:val="0"/>
      <w:divBdr>
        <w:top w:val="none" w:sz="0" w:space="0" w:color="auto"/>
        <w:left w:val="none" w:sz="0" w:space="0" w:color="auto"/>
        <w:bottom w:val="none" w:sz="0" w:space="0" w:color="auto"/>
        <w:right w:val="none" w:sz="0" w:space="0" w:color="auto"/>
      </w:divBdr>
    </w:div>
    <w:div w:id="13996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opioid-medicines-and-the-risk-of-addiction" TargetMode="External"/><Relationship Id="rId13" Type="http://schemas.openxmlformats.org/officeDocument/2006/relationships/hyperlink" Target="https://www.gov.uk/drug-safety-update/opioids-risk-of-dependence-and-addictio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wellwithpain.co.uk/" TargetMode="External"/><Relationship Id="rId17" Type="http://schemas.openxmlformats.org/officeDocument/2006/relationships/hyperlink" Target="https://www.gov.uk/drug-safety-update/benzodiazepines-and-opioids-reminder-of-risk-of-potentially-fatal-respiratory-depression" TargetMode="External"/><Relationship Id="rId2" Type="http://schemas.openxmlformats.org/officeDocument/2006/relationships/numbering" Target="numbering.xml"/><Relationship Id="rId16" Type="http://schemas.openxmlformats.org/officeDocument/2006/relationships/hyperlink" Target="https://livewellwithpai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5f6a078ed3bf7f7238f23100/Opioid-patient-safety-information-leaflet-v2-Aug2021.pdf" TargetMode="External"/><Relationship Id="rId5" Type="http://schemas.openxmlformats.org/officeDocument/2006/relationships/webSettings" Target="webSettings.xml"/><Relationship Id="rId15" Type="http://schemas.openxmlformats.org/officeDocument/2006/relationships/hyperlink" Target="https://www.nice.org.uk/guidance/NG193" TargetMode="External"/><Relationship Id="rId10" Type="http://schemas.openxmlformats.org/officeDocument/2006/relationships/hyperlink" Target="https://assets.publishing.service.gov.uk/media/5f6a078ed3bf7f7238f23100/Opioid-patient-safety-information-leaflet-v2-Aug2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opioid-medicines-and-the-risk-of-addiction" TargetMode="External"/><Relationship Id="rId14" Type="http://schemas.openxmlformats.org/officeDocument/2006/relationships/hyperlink" Target="https://www.england.nhs.uk/south/info-professional/safe-use-of-controlled-drugs/opio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FDAB-F932-407E-927D-B19F4127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Smith</dc:creator>
  <cp:keywords/>
  <dc:description/>
  <cp:lastModifiedBy>KING, Emma (PETROC GROUP PRACTICE - L82023)</cp:lastModifiedBy>
  <cp:revision>2</cp:revision>
  <dcterms:created xsi:type="dcterms:W3CDTF">2024-11-12T14:39:00Z</dcterms:created>
  <dcterms:modified xsi:type="dcterms:W3CDTF">2024-11-12T14:39:00Z</dcterms:modified>
</cp:coreProperties>
</file>